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lang w:eastAsia="zh-CN"/>
        </w:rPr>
      </w:pPr>
      <w:r>
        <w:rPr>
          <w:rFonts w:hint="eastAsia"/>
          <w:b/>
          <w:bCs/>
          <w:sz w:val="32"/>
          <w:szCs w:val="40"/>
          <w:lang w:eastAsia="zh-CN"/>
        </w:rPr>
        <w:t>《</w:t>
      </w:r>
      <w:r>
        <w:rPr>
          <w:rFonts w:hint="eastAsia"/>
          <w:b/>
          <w:bCs/>
          <w:sz w:val="32"/>
          <w:szCs w:val="40"/>
          <w:lang w:val="en-US" w:eastAsia="zh-CN"/>
        </w:rPr>
        <w:t xml:space="preserve">废钢铁、废纸打包改扩建项目 </w:t>
      </w:r>
      <w:r>
        <w:rPr>
          <w:rFonts w:hint="eastAsia"/>
          <w:b/>
          <w:bCs/>
          <w:sz w:val="32"/>
          <w:szCs w:val="40"/>
          <w:lang w:eastAsia="zh-CN"/>
        </w:rPr>
        <w:t>》</w:t>
      </w:r>
    </w:p>
    <w:p>
      <w:pPr>
        <w:spacing w:line="360" w:lineRule="auto"/>
        <w:jc w:val="center"/>
        <w:rPr>
          <w:rFonts w:hint="eastAsia"/>
          <w:b/>
          <w:bCs/>
          <w:sz w:val="32"/>
          <w:szCs w:val="40"/>
          <w:lang w:eastAsia="zh-CN"/>
        </w:rPr>
      </w:pPr>
      <w:r>
        <w:rPr>
          <w:rFonts w:hint="eastAsia"/>
          <w:b/>
          <w:bCs/>
          <w:sz w:val="32"/>
          <w:szCs w:val="40"/>
          <w:lang w:eastAsia="zh-CN"/>
        </w:rPr>
        <w:t>安全预评价、设计专篇、安全验收招标书</w:t>
      </w:r>
    </w:p>
    <w:p>
      <w:pPr>
        <w:spacing w:line="360" w:lineRule="auto"/>
        <w:jc w:val="center"/>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废钢铁、废纸打包改扩建项目》安全预评价、安全设计专篇、安全验评价收进行公开招标。</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三名以上高级工程师及一名以上一级安评师，且以上工程师必须在投标单位缴纳社保；在当地有办事处（便于随时提供安全技术咨询）；有类似项目安全预评价、安全设计专篇、安全验收评价经验，提供</w:t>
      </w:r>
      <w:r>
        <w:rPr>
          <w:rFonts w:hint="eastAsia"/>
          <w:sz w:val="24"/>
          <w:szCs w:val="32"/>
        </w:rPr>
        <w:t>投标单位项目业绩清单；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1.2投标单位应具备</w:t>
      </w:r>
      <w:r>
        <w:rPr>
          <w:rFonts w:hint="eastAsia"/>
          <w:sz w:val="24"/>
          <w:szCs w:val="32"/>
        </w:rPr>
        <w:t>行业乙级或以上</w:t>
      </w:r>
      <w:r>
        <w:rPr>
          <w:rFonts w:hint="eastAsia"/>
          <w:sz w:val="24"/>
          <w:szCs w:val="32"/>
          <w:lang w:eastAsia="zh-CN"/>
        </w:rPr>
        <w:t>安全</w:t>
      </w:r>
      <w:r>
        <w:rPr>
          <w:rFonts w:hint="eastAsia"/>
          <w:sz w:val="24"/>
          <w:szCs w:val="32"/>
        </w:rPr>
        <w:t>评价</w:t>
      </w:r>
      <w:r>
        <w:rPr>
          <w:rFonts w:hint="eastAsia"/>
          <w:sz w:val="24"/>
          <w:szCs w:val="32"/>
          <w:lang w:eastAsia="zh-CN"/>
        </w:rPr>
        <w:t>、工程设计</w:t>
      </w:r>
      <w:r>
        <w:rPr>
          <w:rFonts w:hint="eastAsia"/>
          <w:sz w:val="24"/>
          <w:szCs w:val="32"/>
        </w:rPr>
        <w:t>资质。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1.3投标单位具备合法之营业执照及税务登记证（国地税）等数据，并向本公司提供相应复印件。（需提供营业执照、税务登记证、组织机构代码、开票信息或三证合一营业执照、开票信息，授权委托书）。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1.4本项目评价接受</w:t>
      </w:r>
      <w:bookmarkStart w:id="0" w:name="_GoBack"/>
      <w:bookmarkEnd w:id="0"/>
      <w:r>
        <w:rPr>
          <w:rFonts w:hint="eastAsia"/>
          <w:sz w:val="24"/>
          <w:szCs w:val="32"/>
          <w:lang w:val="en-US" w:eastAsia="zh-CN"/>
        </w:rPr>
        <w:t>联合体投标</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2.1标单制定：环安部根据本公司《废钢铁、废纸打包改扩建项目》安全预评价、安全设计专篇、安全验收的相关工作，依照实际情况制定本次投标开标一览表，本次所列项目详见开标一览表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2.3邀请投标单位：环安部于</w:t>
      </w:r>
      <w:r>
        <w:rPr>
          <w:rFonts w:hint="eastAsia"/>
          <w:sz w:val="24"/>
          <w:szCs w:val="32"/>
          <w:u w:val="single"/>
          <w:lang w:val="en-US" w:eastAsia="zh-CN"/>
        </w:rPr>
        <w:t> 5</w:t>
      </w:r>
      <w:r>
        <w:rPr>
          <w:rFonts w:hint="eastAsia"/>
          <w:sz w:val="24"/>
          <w:szCs w:val="32"/>
          <w:lang w:val="en-US" w:eastAsia="zh-CN"/>
        </w:rPr>
        <w:t>月</w:t>
      </w:r>
      <w:r>
        <w:rPr>
          <w:rFonts w:hint="eastAsia"/>
          <w:sz w:val="24"/>
          <w:szCs w:val="32"/>
          <w:u w:val="single"/>
          <w:lang w:val="en-US" w:eastAsia="zh-CN"/>
        </w:rPr>
        <w:t>17</w:t>
      </w:r>
      <w:r>
        <w:rPr>
          <w:rFonts w:hint="eastAsia"/>
          <w:sz w:val="24"/>
          <w:szCs w:val="32"/>
          <w:lang w:val="en-US" w:eastAsia="zh-CN"/>
        </w:rPr>
        <w:t>日（星期一）</w:t>
      </w:r>
      <w:r>
        <w:rPr>
          <w:rFonts w:hint="eastAsia"/>
          <w:sz w:val="24"/>
          <w:szCs w:val="32"/>
          <w:u w:val="single"/>
          <w:lang w:val="en-US" w:eastAsia="zh-CN"/>
        </w:rPr>
        <w:t xml:space="preserve"> 8 </w:t>
      </w:r>
      <w:r>
        <w:rPr>
          <w:rFonts w:hint="eastAsia"/>
          <w:sz w:val="24"/>
          <w:szCs w:val="32"/>
          <w:lang w:val="en-US" w:eastAsia="zh-CN"/>
        </w:rPr>
        <w:t>时 </w:t>
      </w:r>
      <w:r>
        <w:rPr>
          <w:rFonts w:hint="eastAsia"/>
          <w:sz w:val="24"/>
          <w:szCs w:val="32"/>
          <w:u w:val="single"/>
          <w:lang w:val="en-US" w:eastAsia="zh-CN"/>
        </w:rPr>
        <w:t xml:space="preserve"> 50</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 提供资料答疑：环安部于</w:t>
      </w:r>
      <w:r>
        <w:rPr>
          <w:rFonts w:hint="eastAsia"/>
          <w:sz w:val="24"/>
          <w:szCs w:val="32"/>
          <w:u w:val="single"/>
          <w:lang w:val="en-US" w:eastAsia="zh-CN"/>
        </w:rPr>
        <w:t xml:space="preserve"> 5</w:t>
      </w:r>
      <w:r>
        <w:rPr>
          <w:rFonts w:hint="eastAsia"/>
          <w:sz w:val="24"/>
          <w:szCs w:val="32"/>
          <w:lang w:val="en-US" w:eastAsia="zh-CN"/>
        </w:rPr>
        <w:t>月</w:t>
      </w:r>
      <w:r>
        <w:rPr>
          <w:rFonts w:hint="eastAsia"/>
          <w:sz w:val="24"/>
          <w:szCs w:val="32"/>
          <w:u w:val="single"/>
          <w:lang w:val="en-US" w:eastAsia="zh-CN"/>
        </w:rPr>
        <w:t>17</w:t>
      </w:r>
      <w:r>
        <w:rPr>
          <w:rFonts w:hint="eastAsia"/>
          <w:sz w:val="24"/>
          <w:szCs w:val="32"/>
          <w:lang w:val="en-US" w:eastAsia="zh-CN"/>
        </w:rPr>
        <w:t>日（星期一）</w:t>
      </w:r>
      <w:r>
        <w:rPr>
          <w:rFonts w:hint="eastAsia"/>
          <w:sz w:val="24"/>
          <w:szCs w:val="32"/>
          <w:u w:val="single"/>
          <w:lang w:val="en-US" w:eastAsia="zh-CN"/>
        </w:rPr>
        <w:t>10</w:t>
      </w:r>
      <w:r>
        <w:rPr>
          <w:rFonts w:hint="eastAsia"/>
          <w:sz w:val="24"/>
          <w:szCs w:val="32"/>
          <w:lang w:val="en-US" w:eastAsia="zh-CN"/>
        </w:rPr>
        <w:t>时</w:t>
      </w:r>
      <w:r>
        <w:rPr>
          <w:rFonts w:hint="eastAsia"/>
          <w:sz w:val="24"/>
          <w:szCs w:val="32"/>
          <w:u w:val="single"/>
          <w:lang w:val="en-US" w:eastAsia="zh-CN"/>
        </w:rPr>
        <w:t>00</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2.5</w:t>
      </w:r>
      <w:r>
        <w:rPr>
          <w:rFonts w:hint="eastAsia"/>
          <w:sz w:val="24"/>
          <w:szCs w:val="32"/>
        </w:rPr>
        <w:t>投标单位可于</w:t>
      </w:r>
      <w:r>
        <w:rPr>
          <w:rFonts w:hint="eastAsia"/>
          <w:sz w:val="24"/>
          <w:szCs w:val="32"/>
          <w:u w:val="single"/>
        </w:rPr>
        <w:t>5</w:t>
      </w:r>
      <w:r>
        <w:rPr>
          <w:rFonts w:hint="eastAsia"/>
          <w:sz w:val="24"/>
          <w:szCs w:val="32"/>
        </w:rPr>
        <w:t>月</w:t>
      </w:r>
      <w:r>
        <w:rPr>
          <w:rFonts w:hint="eastAsia"/>
          <w:sz w:val="24"/>
          <w:szCs w:val="32"/>
          <w:u w:val="single"/>
          <w:lang w:val="en-US" w:eastAsia="zh-CN"/>
        </w:rPr>
        <w:t>19</w:t>
      </w:r>
      <w:r>
        <w:rPr>
          <w:rFonts w:hint="eastAsia"/>
          <w:sz w:val="24"/>
          <w:szCs w:val="32"/>
        </w:rPr>
        <w:t>日（星期</w:t>
      </w:r>
      <w:r>
        <w:rPr>
          <w:rFonts w:hint="eastAsia"/>
          <w:sz w:val="24"/>
          <w:szCs w:val="32"/>
          <w:lang w:eastAsia="zh-CN"/>
        </w:rPr>
        <w:t>三</w:t>
      </w:r>
      <w:r>
        <w:rPr>
          <w:rFonts w:hint="eastAsia"/>
          <w:sz w:val="24"/>
          <w:szCs w:val="32"/>
        </w:rPr>
        <w:t>）</w:t>
      </w:r>
      <w:r>
        <w:rPr>
          <w:rFonts w:hint="eastAsia"/>
          <w:sz w:val="24"/>
          <w:szCs w:val="32"/>
          <w:u w:val="single"/>
        </w:rPr>
        <w:t>15</w:t>
      </w:r>
      <w:r>
        <w:rPr>
          <w:rFonts w:hint="eastAsia"/>
          <w:sz w:val="24"/>
          <w:szCs w:val="32"/>
        </w:rPr>
        <w:t>时</w:t>
      </w:r>
      <w:r>
        <w:rPr>
          <w:rFonts w:hint="eastAsia"/>
          <w:sz w:val="24"/>
          <w:szCs w:val="32"/>
          <w:u w:val="single"/>
        </w:rPr>
        <w:t>00</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2.6返标截止时间：</w:t>
      </w:r>
      <w:r>
        <w:rPr>
          <w:rFonts w:hint="eastAsia"/>
          <w:sz w:val="24"/>
          <w:szCs w:val="32"/>
          <w:u w:val="single"/>
          <w:lang w:val="en-US" w:eastAsia="zh-CN"/>
        </w:rPr>
        <w:t xml:space="preserve"> 5 </w:t>
      </w:r>
      <w:r>
        <w:rPr>
          <w:rFonts w:hint="eastAsia"/>
          <w:sz w:val="24"/>
          <w:szCs w:val="32"/>
          <w:lang w:val="en-US" w:eastAsia="zh-CN"/>
        </w:rPr>
        <w:t>月</w:t>
      </w:r>
      <w:r>
        <w:rPr>
          <w:rFonts w:hint="eastAsia"/>
          <w:sz w:val="24"/>
          <w:szCs w:val="32"/>
          <w:u w:val="single"/>
          <w:lang w:val="en-US" w:eastAsia="zh-CN"/>
        </w:rPr>
        <w:t>25</w:t>
      </w:r>
      <w:r>
        <w:rPr>
          <w:rFonts w:hint="eastAsia"/>
          <w:sz w:val="24"/>
          <w:szCs w:val="32"/>
          <w:lang w:val="en-US" w:eastAsia="zh-CN"/>
        </w:rPr>
        <w:t>日（星期二）</w:t>
      </w:r>
      <w:r>
        <w:rPr>
          <w:rFonts w:hint="eastAsia"/>
          <w:sz w:val="24"/>
          <w:szCs w:val="32"/>
          <w:u w:val="single"/>
          <w:lang w:val="en-US" w:eastAsia="zh-CN"/>
        </w:rPr>
        <w:t xml:space="preserve"> 12 </w:t>
      </w:r>
      <w:r>
        <w:rPr>
          <w:rFonts w:hint="eastAsia"/>
          <w:sz w:val="24"/>
          <w:szCs w:val="32"/>
          <w:lang w:val="en-US" w:eastAsia="zh-CN"/>
        </w:rPr>
        <w:t>时</w:t>
      </w:r>
      <w:r>
        <w:rPr>
          <w:rFonts w:hint="eastAsia"/>
          <w:sz w:val="24"/>
          <w:szCs w:val="32"/>
          <w:u w:val="single"/>
          <w:lang w:val="en-US" w:eastAsia="zh-CN"/>
        </w:rPr>
        <w:t> 00</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2.7返标地点：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 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6"/>
          <w:rFonts w:hint="eastAsia" w:ascii="宋体" w:hAnsi="宋体"/>
          <w:sz w:val="24"/>
          <w:lang w:val="zh-CN"/>
        </w:rPr>
        <w:t>baojia@lvhuanchina.com</w:t>
      </w:r>
      <w:r>
        <w:rPr>
          <w:rStyle w:val="6"/>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5 </w:t>
      </w:r>
      <w:r>
        <w:rPr>
          <w:rFonts w:hint="eastAsia"/>
          <w:sz w:val="24"/>
          <w:szCs w:val="32"/>
          <w:lang w:val="en-US" w:eastAsia="zh-CN"/>
        </w:rPr>
        <w:t>月</w:t>
      </w:r>
      <w:r>
        <w:rPr>
          <w:rFonts w:hint="eastAsia"/>
          <w:sz w:val="24"/>
          <w:szCs w:val="32"/>
          <w:u w:val="single"/>
          <w:lang w:val="en-US" w:eastAsia="zh-CN"/>
        </w:rPr>
        <w:t xml:space="preserve">  25 </w:t>
      </w:r>
      <w:r>
        <w:rPr>
          <w:rFonts w:hint="eastAsia"/>
          <w:sz w:val="24"/>
          <w:szCs w:val="32"/>
          <w:lang w:val="en-US" w:eastAsia="zh-CN"/>
        </w:rPr>
        <w:t>日（星期二）</w:t>
      </w:r>
      <w:r>
        <w:rPr>
          <w:rFonts w:hint="eastAsia"/>
          <w:sz w:val="24"/>
          <w:szCs w:val="32"/>
          <w:u w:val="single"/>
          <w:lang w:val="en-US" w:eastAsia="zh-CN"/>
        </w:rPr>
        <w:t xml:space="preserve"> 14 </w:t>
      </w:r>
      <w:r>
        <w:rPr>
          <w:rFonts w:hint="eastAsia"/>
          <w:sz w:val="24"/>
          <w:szCs w:val="32"/>
          <w:lang w:val="en-US" w:eastAsia="zh-CN"/>
        </w:rPr>
        <w:t>时</w:t>
      </w:r>
      <w:r>
        <w:rPr>
          <w:rFonts w:hint="eastAsia"/>
          <w:sz w:val="24"/>
          <w:szCs w:val="32"/>
          <w:u w:val="single"/>
          <w:lang w:val="en-US" w:eastAsia="zh-CN"/>
        </w:rPr>
        <w:t xml:space="preserve"> 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2.8 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2.9 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营业执照、资质复印件、高工社保证明等资料随标书一同邮寄；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4.1按照国家有关法律、法规、标准，客观、公正地对项目进行安全预评价、安全设计专篇评估。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7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17" w:type="dxa"/>
            <w:vAlign w:val="center"/>
          </w:tcPr>
          <w:p>
            <w:pPr>
              <w:jc w:val="center"/>
              <w:rPr>
                <w:rFonts w:hint="eastAsia"/>
                <w:sz w:val="22"/>
                <w:szCs w:val="28"/>
                <w:lang w:eastAsia="zh-CN"/>
              </w:rPr>
            </w:pPr>
            <w:r>
              <w:rPr>
                <w:rFonts w:hint="eastAsia"/>
                <w:sz w:val="22"/>
                <w:szCs w:val="28"/>
                <w:lang w:eastAsia="zh-CN"/>
              </w:rPr>
              <w:t>投标项目</w:t>
            </w:r>
          </w:p>
        </w:tc>
        <w:tc>
          <w:tcPr>
            <w:tcW w:w="1791" w:type="dxa"/>
            <w:vAlign w:val="center"/>
          </w:tcPr>
          <w:p>
            <w:pPr>
              <w:jc w:val="center"/>
              <w:rPr>
                <w:rFonts w:hint="eastAsia"/>
                <w:sz w:val="22"/>
                <w:szCs w:val="28"/>
                <w:lang w:eastAsia="zh-CN"/>
              </w:rPr>
            </w:pPr>
            <w:r>
              <w:rPr>
                <w:rFonts w:hint="eastAsia"/>
                <w:sz w:val="22"/>
                <w:szCs w:val="28"/>
                <w:lang w:eastAsia="zh-CN"/>
              </w:rPr>
              <w:t>投标价格</w:t>
            </w:r>
          </w:p>
        </w:tc>
        <w:tc>
          <w:tcPr>
            <w:tcW w:w="1704" w:type="dxa"/>
            <w:vAlign w:val="center"/>
          </w:tcPr>
          <w:p>
            <w:pPr>
              <w:jc w:val="center"/>
              <w:rPr>
                <w:rFonts w:hint="eastAsia"/>
                <w:sz w:val="22"/>
                <w:szCs w:val="28"/>
                <w:lang w:eastAsia="zh-CN"/>
              </w:rPr>
            </w:pPr>
            <w:r>
              <w:rPr>
                <w:rFonts w:hint="eastAsia"/>
                <w:sz w:val="22"/>
                <w:szCs w:val="28"/>
                <w:lang w:eastAsia="zh-CN"/>
              </w:rPr>
              <w:t>编制完成时间</w:t>
            </w:r>
          </w:p>
        </w:tc>
        <w:tc>
          <w:tcPr>
            <w:tcW w:w="1705"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617" w:type="dxa"/>
            <w:vAlign w:val="center"/>
          </w:tcPr>
          <w:p>
            <w:pPr>
              <w:jc w:val="center"/>
              <w:rPr>
                <w:rFonts w:hint="eastAsia"/>
                <w:sz w:val="22"/>
                <w:szCs w:val="28"/>
                <w:lang w:eastAsia="zh-CN"/>
              </w:rPr>
            </w:pPr>
            <w:r>
              <w:rPr>
                <w:rFonts w:hint="eastAsia"/>
                <w:sz w:val="21"/>
                <w:szCs w:val="24"/>
                <w:lang w:val="en-US" w:eastAsia="zh-CN"/>
              </w:rPr>
              <w:t>《废钢铁、废纸打包改扩建项目》安全预评价、安全设计专篇、安全验评价</w:t>
            </w:r>
          </w:p>
        </w:tc>
        <w:tc>
          <w:tcPr>
            <w:tcW w:w="1791" w:type="dxa"/>
            <w:vAlign w:val="center"/>
          </w:tcPr>
          <w:p>
            <w:pPr>
              <w:jc w:val="center"/>
              <w:rPr>
                <w:rFonts w:hint="default"/>
                <w:sz w:val="22"/>
                <w:szCs w:val="28"/>
              </w:rPr>
            </w:pPr>
          </w:p>
        </w:tc>
        <w:tc>
          <w:tcPr>
            <w:tcW w:w="1704" w:type="dxa"/>
            <w:vAlign w:val="center"/>
          </w:tcPr>
          <w:p>
            <w:pPr>
              <w:jc w:val="center"/>
              <w:rPr>
                <w:rFonts w:hint="default"/>
                <w:sz w:val="22"/>
                <w:szCs w:val="28"/>
              </w:rPr>
            </w:pPr>
          </w:p>
        </w:tc>
        <w:tc>
          <w:tcPr>
            <w:tcW w:w="1705" w:type="dxa"/>
            <w:vAlign w:val="center"/>
          </w:tcPr>
          <w:p>
            <w:pPr>
              <w:jc w:val="center"/>
              <w:rPr>
                <w:rFonts w:hint="default"/>
                <w:sz w:val="22"/>
                <w:szCs w:val="28"/>
              </w:rPr>
            </w:pPr>
          </w:p>
        </w:tc>
        <w:tc>
          <w:tcPr>
            <w:tcW w:w="1705" w:type="dxa"/>
            <w:vAlign w:val="center"/>
          </w:tcPr>
          <w:p>
            <w:pPr>
              <w:jc w:val="center"/>
              <w:rPr>
                <w:rFonts w:hint="eastAsia" w:eastAsiaTheme="minorEastAsia"/>
                <w:sz w:val="22"/>
                <w:szCs w:val="28"/>
                <w:lang w:eastAsia="zh-CN"/>
              </w:rPr>
            </w:pPr>
            <w:r>
              <w:rPr>
                <w:rFonts w:hint="eastAsia"/>
                <w:sz w:val="22"/>
                <w:szCs w:val="28"/>
                <w:lang w:eastAsia="zh-CN"/>
              </w:rPr>
              <w:t>标明税率及是否含专家评审费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408" w:type="dxa"/>
            <w:gridSpan w:val="2"/>
            <w:vAlign w:val="center"/>
          </w:tcPr>
          <w:p>
            <w:pPr>
              <w:jc w:val="center"/>
              <w:rPr>
                <w:rFonts w:hint="default"/>
                <w:sz w:val="22"/>
                <w:szCs w:val="28"/>
              </w:rPr>
            </w:pPr>
            <w:r>
              <w:rPr>
                <w:rFonts w:hint="eastAsia"/>
                <w:sz w:val="22"/>
                <w:szCs w:val="28"/>
                <w:lang w:eastAsia="zh-CN"/>
              </w:rPr>
              <w:t>优惠条件</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408" w:type="dxa"/>
            <w:gridSpan w:val="2"/>
            <w:vAlign w:val="center"/>
          </w:tcPr>
          <w:p>
            <w:pPr>
              <w:jc w:val="center"/>
              <w:rPr>
                <w:rFonts w:hint="default"/>
                <w:sz w:val="22"/>
                <w:szCs w:val="28"/>
              </w:rPr>
            </w:pPr>
            <w:r>
              <w:rPr>
                <w:rFonts w:hint="eastAsia"/>
                <w:sz w:val="22"/>
                <w:szCs w:val="28"/>
                <w:lang w:eastAsia="zh-CN"/>
              </w:rPr>
              <w:t>合计总价</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jc w:val="center"/>
              <w:rPr>
                <w:rFonts w:hint="eastAsia"/>
                <w:sz w:val="22"/>
                <w:szCs w:val="28"/>
                <w:lang w:eastAsia="zh-CN"/>
              </w:rPr>
            </w:pPr>
            <w:r>
              <w:rPr>
                <w:rFonts w:hint="eastAsia"/>
                <w:sz w:val="22"/>
                <w:szCs w:val="28"/>
                <w:lang w:eastAsia="zh-CN"/>
              </w:rPr>
              <w:t>付款方式</w:t>
            </w:r>
          </w:p>
        </w:tc>
        <w:tc>
          <w:tcPr>
            <w:tcW w:w="6905" w:type="dxa"/>
            <w:gridSpan w:val="4"/>
            <w:vAlign w:val="center"/>
          </w:tcPr>
          <w:p>
            <w:pPr>
              <w:jc w:val="center"/>
              <w:rPr>
                <w:rFonts w:hint="default"/>
                <w:sz w:val="22"/>
                <w:szCs w:val="28"/>
                <w:lang w:val="en-US" w:eastAsia="zh-CN"/>
              </w:rPr>
            </w:pPr>
            <w:r>
              <w:rPr>
                <w:rFonts w:hint="eastAsia"/>
                <w:sz w:val="22"/>
                <w:szCs w:val="28"/>
                <w:lang w:eastAsia="zh-CN"/>
              </w:rPr>
              <w:t>电汇付款；正式合同签订后，</w:t>
            </w:r>
            <w:r>
              <w:rPr>
                <w:rFonts w:hint="eastAsia"/>
                <w:sz w:val="22"/>
                <w:szCs w:val="28"/>
                <w:lang w:val="en-US" w:eastAsia="zh-CN"/>
              </w:rPr>
              <w:t>安全预评价、安全设计专篇、安全验收评价，通过专家评审后一次性支付项目评价款项。</w:t>
            </w:r>
          </w:p>
        </w:tc>
      </w:tr>
    </w:tbl>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2"/>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                                  投标单位授权代表签名：</w:t>
      </w:r>
      <w:r>
        <w:rPr>
          <w:rFonts w:hint="eastAsia" w:ascii="宋体" w:hAnsi="宋体" w:eastAsia="宋体" w:cs="宋体"/>
          <w:i w:val="0"/>
          <w:caps w:val="0"/>
          <w:color w:val="000000"/>
          <w:spacing w:val="0"/>
          <w:sz w:val="24"/>
          <w:szCs w:val="24"/>
          <w:u w:val="singl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E8222D1"/>
    <w:rsid w:val="18AC1667"/>
    <w:rsid w:val="1BB17EC1"/>
    <w:rsid w:val="21780360"/>
    <w:rsid w:val="22971CC3"/>
    <w:rsid w:val="2FBC4C71"/>
    <w:rsid w:val="30717263"/>
    <w:rsid w:val="436D5F0F"/>
    <w:rsid w:val="498B4090"/>
    <w:rsid w:val="52752FA8"/>
    <w:rsid w:val="561168B8"/>
    <w:rsid w:val="58344C4C"/>
    <w:rsid w:val="589A1FCC"/>
    <w:rsid w:val="58FB50C9"/>
    <w:rsid w:val="5A131AE3"/>
    <w:rsid w:val="5DC43174"/>
    <w:rsid w:val="5F793366"/>
    <w:rsid w:val="60BA3806"/>
    <w:rsid w:val="6A360F55"/>
    <w:rsid w:val="7B1D0243"/>
    <w:rsid w:val="7ECA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铁打的男人不锈钢的心</cp:lastModifiedBy>
  <cp:lastPrinted>2020-05-09T07:20:00Z</cp:lastPrinted>
  <dcterms:modified xsi:type="dcterms:W3CDTF">2021-05-16T04:47:33Z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