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料坑快速门更换防爆电机招</w:t>
      </w:r>
      <w:r>
        <w:rPr>
          <w:rFonts w:hint="eastAsia" w:ascii="宋体" w:hAnsi="宋体" w:cs="Arial"/>
          <w:b/>
          <w:color w:val="000000"/>
          <w:sz w:val="40"/>
          <w:szCs w:val="40"/>
          <w:u w:val="single"/>
        </w:rPr>
        <w:t>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both"/>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b/>
          <w:bCs/>
          <w:sz w:val="24"/>
          <w:szCs w:val="24"/>
          <w:lang w:val="en-US" w:eastAsia="zh-CN"/>
        </w:rPr>
        <w:t>料坑快速门更换防爆电机</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b/>
          <w:bCs/>
          <w:sz w:val="24"/>
          <w:szCs w:val="24"/>
          <w:lang w:val="en-US" w:eastAsia="zh-CN"/>
        </w:rPr>
        <w:t>料坑快速门更换防爆电机</w:t>
      </w:r>
      <w:r>
        <w:rPr>
          <w:rFonts w:hint="eastAsia" w:ascii="宋体" w:hAnsi="宋体" w:cs="Arial"/>
          <w:sz w:val="24"/>
          <w:szCs w:val="24"/>
          <w:lang w:val="en-US" w:eastAsia="zh-CN"/>
        </w:rPr>
        <w:t>招</w:t>
      </w:r>
      <w:r>
        <w:rPr>
          <w:rFonts w:hint="eastAsia" w:ascii="宋体" w:hAnsi="宋体" w:cs="Arial"/>
          <w:sz w:val="24"/>
          <w:szCs w:val="24"/>
        </w:rPr>
        <w:t>标</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w:t>
      </w:r>
      <w:r>
        <w:rPr>
          <w:rFonts w:hint="eastAsia" w:ascii="宋体" w:hAnsi="宋体" w:cs="Arial"/>
          <w:sz w:val="24"/>
          <w:szCs w:val="24"/>
        </w:rPr>
        <w:t>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11</w:t>
      </w:r>
      <w:r>
        <w:rPr>
          <w:rFonts w:hint="eastAsia" w:ascii="宋体" w:hAnsi="宋体" w:cs="Arial"/>
          <w:sz w:val="24"/>
          <w:szCs w:val="24"/>
        </w:rPr>
        <w:t>月</w:t>
      </w:r>
      <w:r>
        <w:rPr>
          <w:rFonts w:hint="eastAsia" w:ascii="宋体" w:hAnsi="宋体" w:cs="Arial"/>
          <w:sz w:val="24"/>
          <w:szCs w:val="24"/>
          <w:lang w:val="en-US" w:eastAsia="zh-CN"/>
        </w:rPr>
        <w:t>11</w:t>
      </w:r>
      <w:r>
        <w:rPr>
          <w:rFonts w:hint="eastAsia" w:ascii="宋体" w:hAnsi="宋体" w:cs="Arial"/>
          <w:sz w:val="24"/>
          <w:szCs w:val="24"/>
        </w:rPr>
        <w:t>日（周</w:t>
      </w:r>
      <w:r>
        <w:rPr>
          <w:rFonts w:hint="eastAsia" w:ascii="宋体" w:hAnsi="宋体" w:cs="Arial"/>
          <w:sz w:val="24"/>
          <w:szCs w:val="24"/>
          <w:lang w:eastAsia="zh-CN"/>
        </w:rPr>
        <w:t>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val="en-US" w:eastAsia="zh-CN"/>
        </w:rPr>
        <w:t>林经理：13156900324</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hint="eastAsia" w:ascii="宋体" w:hAnsi="宋体" w:cs="Arial" w:eastAsiaTheme="minorEastAsia"/>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cs="Arial"/>
          <w:b/>
          <w:bCs/>
          <w:sz w:val="24"/>
          <w:szCs w:val="24"/>
          <w:lang w:val="en-US" w:eastAsia="zh-CN"/>
        </w:rPr>
        <w:t>料坑快速门更换防爆电机</w:t>
      </w:r>
      <w:r>
        <w:rPr>
          <w:rFonts w:hint="eastAsia" w:ascii="宋体" w:hAnsi="宋体" w:cs="Arial"/>
          <w:sz w:val="24"/>
          <w:szCs w:val="24"/>
          <w:lang w:val="en-US" w:eastAsia="zh-CN"/>
        </w:rPr>
        <w:t>招</w:t>
      </w:r>
      <w:r>
        <w:rPr>
          <w:rFonts w:hint="eastAsia" w:ascii="宋体" w:hAnsi="宋体" w:cs="Arial"/>
          <w:sz w:val="24"/>
          <w:szCs w:val="24"/>
        </w:rPr>
        <w:t>标</w:t>
      </w:r>
      <w:r>
        <w:rPr>
          <w:rFonts w:hint="eastAsia" w:ascii="宋体" w:hAnsi="宋体" w:cs="Arial"/>
          <w:sz w:val="24"/>
          <w:szCs w:val="24"/>
          <w:lang w:eastAsia="zh-CN"/>
        </w:rPr>
        <w:t>。</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b/>
          <w:bCs/>
          <w:color w:val="000000"/>
          <w:kern w:val="0"/>
          <w:sz w:val="24"/>
          <w:szCs w:val="24"/>
        </w:rPr>
        <w:t>中标人依据要求交货并完成验收，周期自合同签订后</w:t>
      </w:r>
      <w:r>
        <w:rPr>
          <w:rFonts w:hint="eastAsia" w:ascii="宋体" w:hAnsi="宋体" w:eastAsia="宋体" w:cs="宋体"/>
          <w:b/>
          <w:bCs/>
          <w:color w:val="000000"/>
          <w:kern w:val="0"/>
          <w:sz w:val="24"/>
          <w:szCs w:val="24"/>
          <w:lang w:val="en-US" w:eastAsia="zh-CN"/>
        </w:rPr>
        <w:t>10</w:t>
      </w:r>
      <w:r>
        <w:rPr>
          <w:rFonts w:hint="eastAsia" w:ascii="宋体" w:hAnsi="宋体" w:eastAsia="宋体" w:cs="宋体"/>
          <w:b/>
          <w:bCs/>
          <w:color w:val="000000"/>
          <w:kern w:val="0"/>
          <w:sz w:val="24"/>
          <w:szCs w:val="24"/>
        </w:rPr>
        <w:t>天完成。逾期造成招标人的相应损失需由中标人承担</w:t>
      </w:r>
      <w:r>
        <w:rPr>
          <w:rFonts w:hint="eastAsia" w:ascii="宋体" w:hAnsi="宋体" w:eastAsia="宋体" w:cs="宋体"/>
          <w:color w:val="000000"/>
          <w:kern w:val="0"/>
          <w:sz w:val="24"/>
          <w:szCs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合同签订后支付</w:t>
      </w:r>
      <w:r>
        <w:rPr>
          <w:rFonts w:hint="eastAsia"/>
          <w:sz w:val="24"/>
          <w:lang w:val="en-US" w:eastAsia="zh-CN"/>
        </w:rPr>
        <w:t>50%首付款</w:t>
      </w:r>
      <w:r>
        <w:rPr>
          <w:rFonts w:hint="eastAsia"/>
          <w:sz w:val="24"/>
          <w:lang w:eastAsia="zh-CN"/>
        </w:rPr>
        <w:t>，验收合格后，</w:t>
      </w:r>
      <w:r>
        <w:rPr>
          <w:rFonts w:hint="eastAsia"/>
          <w:sz w:val="24"/>
        </w:rPr>
        <w:t>支付</w:t>
      </w:r>
      <w:r>
        <w:rPr>
          <w:rFonts w:hint="eastAsia"/>
          <w:sz w:val="24"/>
          <w:lang w:val="en-US" w:eastAsia="zh-CN"/>
        </w:rPr>
        <w:t>剩余尾款</w:t>
      </w:r>
      <w:r>
        <w:rPr>
          <w:rFonts w:hint="eastAsia"/>
          <w:sz w:val="24"/>
        </w:rPr>
        <w:t>。</w:t>
      </w:r>
    </w:p>
    <w:p>
      <w:pPr>
        <w:widowControl/>
        <w:shd w:val="clear" w:color="auto" w:fill="FFFFFF"/>
        <w:spacing w:before="50" w:line="228" w:lineRule="atLeast"/>
        <w:rPr>
          <w:rFonts w:hint="eastAsia" w:ascii="宋体" w:hAnsi="宋体" w:eastAsia="宋体" w:cs="宋体"/>
          <w:b/>
          <w:bCs/>
          <w:color w:val="000000"/>
          <w:kern w:val="0"/>
          <w:sz w:val="24"/>
          <w:szCs w:val="24"/>
        </w:rPr>
      </w:pPr>
    </w:p>
    <w:p>
      <w:pPr>
        <w:widowControl/>
        <w:shd w:val="clear" w:color="auto" w:fill="FFFFFF"/>
        <w:spacing w:before="50" w:line="228" w:lineRule="atLeast"/>
        <w:rPr>
          <w:rFonts w:hint="eastAsia" w:ascii="宋体" w:hAnsi="宋体" w:eastAsia="宋体" w:cs="宋体"/>
          <w:b/>
          <w:bCs/>
          <w:color w:val="000000"/>
          <w:kern w:val="0"/>
          <w:sz w:val="24"/>
          <w:szCs w:val="24"/>
        </w:rPr>
      </w:pP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hint="eastAsia" w:ascii="宋体" w:hAnsi="宋体" w:cs="Arial"/>
          <w:b/>
          <w:bCs/>
          <w:sz w:val="24"/>
          <w:szCs w:val="24"/>
          <w:lang w:val="en-US" w:eastAsia="zh-CN"/>
        </w:rPr>
      </w:pPr>
      <w:r>
        <w:rPr>
          <w:rFonts w:hint="eastAsia" w:ascii="宋体" w:hAnsi="宋体" w:eastAsia="宋体" w:cs="宋体"/>
          <w:b/>
          <w:bCs/>
          <w:color w:val="000000"/>
          <w:kern w:val="0"/>
          <w:sz w:val="24"/>
          <w:szCs w:val="24"/>
        </w:rPr>
        <w:t>项目名称：</w:t>
      </w:r>
      <w:r>
        <w:rPr>
          <w:rFonts w:hint="eastAsia" w:ascii="宋体" w:hAnsi="宋体" w:cs="Arial"/>
          <w:b/>
          <w:bCs/>
          <w:sz w:val="24"/>
          <w:szCs w:val="24"/>
          <w:lang w:val="en-US" w:eastAsia="zh-CN"/>
        </w:rPr>
        <w:t>料坑快速门更换防爆电机</w:t>
      </w:r>
    </w:p>
    <w:tbl>
      <w:tblPr>
        <w:tblStyle w:val="5"/>
        <w:tblW w:w="9758" w:type="dxa"/>
        <w:jc w:val="center"/>
        <w:shd w:val="clear" w:color="auto" w:fill="auto"/>
        <w:tblLayout w:type="autofit"/>
        <w:tblCellMar>
          <w:top w:w="0" w:type="dxa"/>
          <w:left w:w="0" w:type="dxa"/>
          <w:bottom w:w="0" w:type="dxa"/>
          <w:right w:w="0" w:type="dxa"/>
        </w:tblCellMar>
      </w:tblPr>
      <w:tblGrid>
        <w:gridCol w:w="1373"/>
        <w:gridCol w:w="1965"/>
        <w:gridCol w:w="705"/>
        <w:gridCol w:w="720"/>
        <w:gridCol w:w="2460"/>
        <w:gridCol w:w="2535"/>
      </w:tblGrid>
      <w:tr>
        <w:tblPrEx>
          <w:shd w:val="clear" w:color="auto" w:fill="auto"/>
          <w:tblCellMar>
            <w:top w:w="0" w:type="dxa"/>
            <w:left w:w="0" w:type="dxa"/>
            <w:bottom w:w="0" w:type="dxa"/>
            <w:right w:w="0" w:type="dxa"/>
          </w:tblCellMar>
        </w:tblPrEx>
        <w:trPr>
          <w:trHeight w:val="840" w:hRule="atLeast"/>
          <w:jc w:val="center"/>
        </w:trPr>
        <w:tc>
          <w:tcPr>
            <w:tcW w:w="13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产品名称</w:t>
            </w:r>
          </w:p>
        </w:tc>
        <w:tc>
          <w:tcPr>
            <w:tcW w:w="19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型号</w:t>
            </w:r>
          </w:p>
        </w:tc>
        <w:tc>
          <w:tcPr>
            <w:tcW w:w="7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单位</w:t>
            </w:r>
            <w:bookmarkStart w:id="0" w:name="_GoBack"/>
            <w:bookmarkEnd w:id="0"/>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数量</w:t>
            </w:r>
          </w:p>
        </w:tc>
        <w:tc>
          <w:tcPr>
            <w:tcW w:w="24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总价（元）13%专票</w:t>
            </w:r>
          </w:p>
        </w:tc>
        <w:tc>
          <w:tcPr>
            <w:tcW w:w="25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00" w:hRule="atLeast"/>
          <w:jc w:val="center"/>
        </w:trPr>
        <w:tc>
          <w:tcPr>
            <w:tcW w:w="137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换防爆电机</w:t>
            </w: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防爆控制箱</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防爆等级：Ex d ⅡB T4 Gb IP55及以上</w:t>
            </w:r>
          </w:p>
        </w:tc>
      </w:tr>
      <w:tr>
        <w:tblPrEx>
          <w:tblCellMar>
            <w:top w:w="0" w:type="dxa"/>
            <w:left w:w="0" w:type="dxa"/>
            <w:bottom w:w="0" w:type="dxa"/>
            <w:right w:w="0" w:type="dxa"/>
          </w:tblCellMar>
        </w:tblPrEx>
        <w:trPr>
          <w:trHeight w:val="30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防爆开关</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遥控装置</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遥控器（每门3个）</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95"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拆解及安装费含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控制箱等</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包含拆解及安装防爆控制箱，防爆开关，遥控装置等</w:t>
            </w:r>
          </w:p>
        </w:tc>
      </w:tr>
      <w:tr>
        <w:tblPrEx>
          <w:tblCellMar>
            <w:top w:w="0" w:type="dxa"/>
            <w:left w:w="0" w:type="dxa"/>
            <w:bottom w:w="0" w:type="dxa"/>
            <w:right w:w="0" w:type="dxa"/>
          </w:tblCellMar>
        </w:tblPrEx>
        <w:trPr>
          <w:trHeight w:val="705"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防爆防水电机</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防爆等级：Ex d ⅡB T4 Gb IP55及以上含电机拆解及安装 </w:t>
            </w:r>
          </w:p>
        </w:tc>
      </w:tr>
      <w:tr>
        <w:tblPrEx>
          <w:tblCellMar>
            <w:top w:w="0" w:type="dxa"/>
            <w:left w:w="0" w:type="dxa"/>
            <w:bottom w:w="0" w:type="dxa"/>
            <w:right w:w="0" w:type="dxa"/>
          </w:tblCellMar>
        </w:tblPrEx>
        <w:trPr>
          <w:trHeight w:val="33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机罩</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防爆软管</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防爆接头</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更换导轨-钢制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喷涂</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穿线管 电缆等</w:t>
            </w:r>
          </w:p>
        </w:tc>
      </w:tr>
      <w:tr>
        <w:tblPrEx>
          <w:tblCellMar>
            <w:top w:w="0" w:type="dxa"/>
            <w:left w:w="0" w:type="dxa"/>
            <w:bottom w:w="0" w:type="dxa"/>
            <w:right w:w="0" w:type="dxa"/>
          </w:tblCellMar>
        </w:tblPrEx>
        <w:trPr>
          <w:trHeight w:val="300" w:hRule="atLeast"/>
          <w:jc w:val="center"/>
        </w:trPr>
        <w:tc>
          <w:tcPr>
            <w:tcW w:w="137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运费</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jc w:val="center"/>
        </w:trPr>
        <w:tc>
          <w:tcPr>
            <w:tcW w:w="13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9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安装涉及登高，动火作业，需要持证上岗。</w:t>
            </w:r>
          </w:p>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需要适用的防毒口罩。</w:t>
            </w:r>
          </w:p>
        </w:tc>
      </w:tr>
    </w:tbl>
    <w:p>
      <w:pPr>
        <w:widowControl/>
        <w:shd w:val="clear" w:color="auto" w:fill="FFFFFF"/>
        <w:spacing w:after="120" w:line="362" w:lineRule="atLeast"/>
        <w:rPr>
          <w:rFonts w:hint="eastAsia" w:ascii="宋体" w:hAnsi="宋体" w:cs="Arial"/>
          <w:b/>
          <w:bCs/>
          <w:sz w:val="24"/>
          <w:szCs w:val="24"/>
          <w:lang w:val="en-US" w:eastAsia="zh-CN"/>
        </w:rPr>
      </w:pPr>
    </w:p>
    <w:p>
      <w:pPr>
        <w:widowControl/>
        <w:shd w:val="clear" w:color="auto" w:fill="FFFFFF"/>
        <w:spacing w:after="120" w:line="362" w:lineRule="atLeast"/>
        <w:rPr>
          <w:rFonts w:hint="eastAsia" w:ascii="宋体" w:hAnsi="宋体" w:eastAsia="宋体" w:cs="宋体"/>
          <w:b/>
          <w:bCs/>
          <w:color w:val="FF0000"/>
          <w:kern w:val="0"/>
          <w:sz w:val="18"/>
          <w:szCs w:val="18"/>
        </w:rPr>
      </w:pPr>
      <w:r>
        <w:rPr>
          <w:rFonts w:hint="eastAsia" w:ascii="宋体" w:hAnsi="宋体" w:eastAsia="宋体" w:cs="宋体"/>
          <w:b/>
          <w:bCs/>
          <w:color w:val="FF0000"/>
          <w:kern w:val="0"/>
          <w:sz w:val="20"/>
          <w:szCs w:val="20"/>
        </w:rPr>
        <w:t>备注：</w:t>
      </w:r>
    </w:p>
    <w:p>
      <w:pPr>
        <w:widowControl/>
        <w:shd w:val="clear" w:color="auto" w:fill="FFFFFF"/>
        <w:spacing w:after="120" w:line="362" w:lineRule="atLeast"/>
        <w:rPr>
          <w:rFonts w:hint="eastAsia" w:ascii="Calibri" w:hAnsi="Calibri" w:eastAsia="宋体" w:cs="宋体"/>
          <w:color w:val="000000"/>
          <w:kern w:val="0"/>
          <w:sz w:val="18"/>
          <w:szCs w:val="18"/>
          <w:lang w:eastAsia="zh-CN"/>
        </w:rPr>
      </w:pPr>
      <w:r>
        <w:rPr>
          <w:rFonts w:ascii="Calibri" w:hAnsi="Calibri" w:eastAsia="宋体" w:cs="宋体"/>
          <w:b/>
          <w:bCs/>
          <w:color w:val="FF0000"/>
          <w:kern w:val="0"/>
          <w:sz w:val="18"/>
          <w:szCs w:val="18"/>
        </w:rPr>
        <w:t>1</w:t>
      </w:r>
      <w:r>
        <w:rPr>
          <w:rFonts w:hint="eastAsia" w:ascii="Calibri" w:hAnsi="Calibri" w:eastAsia="宋体" w:cs="宋体"/>
          <w:b/>
          <w:bCs/>
          <w:color w:val="FF0000"/>
          <w:kern w:val="0"/>
          <w:sz w:val="18"/>
          <w:szCs w:val="18"/>
          <w:lang w:eastAsia="zh-CN"/>
        </w:rPr>
        <w:t>、</w:t>
      </w:r>
      <w:r>
        <w:rPr>
          <w:rFonts w:hint="eastAsia" w:ascii="宋体" w:hAnsi="宋体" w:eastAsia="宋体" w:cs="宋体"/>
          <w:b/>
          <w:bCs/>
          <w:color w:val="FF0000"/>
          <w:kern w:val="0"/>
          <w:sz w:val="18"/>
          <w:szCs w:val="18"/>
        </w:rPr>
        <w:t>本页必须加盖公章</w:t>
      </w:r>
      <w:r>
        <w:rPr>
          <w:rFonts w:hint="eastAsia" w:ascii="宋体" w:hAnsi="宋体" w:eastAsia="宋体" w:cs="宋体"/>
          <w:b/>
          <w:bCs/>
          <w:color w:val="FF0000"/>
          <w:kern w:val="0"/>
          <w:sz w:val="18"/>
          <w:szCs w:val="18"/>
          <w:lang w:eastAsia="zh-CN"/>
        </w:rPr>
        <w:t>。</w:t>
      </w:r>
    </w:p>
    <w:p>
      <w:pPr>
        <w:widowControl/>
        <w:shd w:val="clear" w:color="auto" w:fill="FFFFFF"/>
        <w:spacing w:after="120" w:line="362" w:lineRule="atLeast"/>
        <w:rPr>
          <w:rFonts w:hint="eastAsia" w:ascii="宋体" w:hAnsi="宋体" w:eastAsia="宋体" w:cs="宋体"/>
          <w:b/>
          <w:bCs/>
          <w:color w:val="FF0000"/>
          <w:kern w:val="0"/>
          <w:sz w:val="20"/>
          <w:szCs w:val="20"/>
        </w:rPr>
      </w:pPr>
      <w:r>
        <w:rPr>
          <w:rFonts w:ascii="Calibri" w:hAnsi="Calibri" w:eastAsia="宋体" w:cs="宋体"/>
          <w:b/>
          <w:bCs/>
          <w:color w:val="FF0000"/>
          <w:kern w:val="0"/>
          <w:sz w:val="20"/>
          <w:szCs w:val="20"/>
        </w:rPr>
        <w:t>2</w:t>
      </w:r>
      <w:r>
        <w:rPr>
          <w:rFonts w:hint="eastAsia" w:ascii="宋体" w:hAnsi="宋体" w:eastAsia="宋体" w:cs="宋体"/>
          <w:b/>
          <w:bCs/>
          <w:color w:val="FF0000"/>
          <w:kern w:val="0"/>
          <w:sz w:val="20"/>
          <w:szCs w:val="20"/>
        </w:rPr>
        <w:t>、此报价包含</w:t>
      </w: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rPr>
        <w:t>3</w:t>
      </w:r>
      <w:r>
        <w:rPr>
          <w:rFonts w:ascii="Calibri" w:hAnsi="Calibri" w:eastAsia="宋体" w:cs="宋体"/>
          <w:b/>
          <w:bCs/>
          <w:color w:val="FF0000"/>
          <w:kern w:val="0"/>
          <w:sz w:val="20"/>
          <w:szCs w:val="20"/>
        </w:rPr>
        <w:t>%</w:t>
      </w:r>
      <w:r>
        <w:rPr>
          <w:rFonts w:hint="eastAsia" w:ascii="宋体" w:hAnsi="宋体" w:eastAsia="宋体" w:cs="宋体"/>
          <w:b/>
          <w:bCs/>
          <w:color w:val="FF0000"/>
          <w:kern w:val="0"/>
          <w:sz w:val="20"/>
          <w:szCs w:val="20"/>
        </w:rPr>
        <w:t>增值税发票</w:t>
      </w:r>
      <w:r>
        <w:rPr>
          <w:rFonts w:hint="eastAsia" w:ascii="宋体" w:hAnsi="宋体" w:eastAsia="宋体" w:cs="宋体"/>
          <w:b/>
          <w:bCs/>
          <w:color w:val="FF0000"/>
          <w:kern w:val="0"/>
          <w:sz w:val="20"/>
          <w:szCs w:val="20"/>
          <w:lang w:val="en-US" w:eastAsia="zh-CN"/>
        </w:rPr>
        <w:t>含</w:t>
      </w:r>
      <w:r>
        <w:rPr>
          <w:rFonts w:hint="eastAsia" w:ascii="宋体" w:hAnsi="宋体" w:eastAsia="宋体" w:cs="宋体"/>
          <w:b/>
          <w:bCs/>
          <w:color w:val="FF0000"/>
          <w:kern w:val="0"/>
          <w:sz w:val="20"/>
          <w:szCs w:val="20"/>
          <w:lang w:eastAsia="zh-CN"/>
        </w:rPr>
        <w:t>运费</w:t>
      </w:r>
      <w:r>
        <w:rPr>
          <w:rFonts w:hint="eastAsia" w:ascii="宋体" w:hAnsi="宋体" w:eastAsia="宋体" w:cs="宋体"/>
          <w:b/>
          <w:bCs/>
          <w:color w:val="FF0000"/>
          <w:kern w:val="0"/>
          <w:sz w:val="20"/>
          <w:szCs w:val="20"/>
          <w:lang w:val="en-US" w:eastAsia="zh-CN"/>
        </w:rPr>
        <w:t>等</w:t>
      </w:r>
      <w:r>
        <w:rPr>
          <w:rFonts w:hint="eastAsia" w:ascii="宋体" w:hAnsi="宋体" w:eastAsia="宋体" w:cs="宋体"/>
          <w:b/>
          <w:bCs/>
          <w:color w:val="FF0000"/>
          <w:kern w:val="0"/>
          <w:sz w:val="20"/>
          <w:szCs w:val="20"/>
        </w:rPr>
        <w:t>。</w:t>
      </w:r>
    </w:p>
    <w:p>
      <w:pPr>
        <w:widowControl/>
        <w:shd w:val="clear" w:color="auto" w:fill="FFFFFF"/>
        <w:spacing w:after="120" w:line="362" w:lineRule="atLeast"/>
        <w:rPr>
          <w:rFonts w:hint="eastAsia" w:ascii="宋体" w:hAnsi="宋体" w:eastAsia="宋体" w:cs="宋体"/>
          <w:b/>
          <w:bCs/>
          <w:color w:val="FF0000"/>
          <w:kern w:val="0"/>
          <w:sz w:val="20"/>
          <w:szCs w:val="20"/>
        </w:rPr>
      </w:pPr>
      <w:r>
        <w:rPr>
          <w:rFonts w:hint="eastAsia" w:ascii="宋体" w:hAnsi="宋体" w:eastAsia="宋体" w:cs="宋体"/>
          <w:b/>
          <w:bCs/>
          <w:color w:val="FF0000"/>
          <w:kern w:val="0"/>
          <w:sz w:val="20"/>
          <w:szCs w:val="20"/>
          <w:lang w:eastAsia="zh-CN"/>
        </w:rPr>
        <w:drawing>
          <wp:anchor distT="0" distB="0" distL="114300" distR="114300" simplePos="0" relativeHeight="251658240" behindDoc="1" locked="0" layoutInCell="1" allowOverlap="1">
            <wp:simplePos x="0" y="0"/>
            <wp:positionH relativeFrom="column">
              <wp:posOffset>-909955</wp:posOffset>
            </wp:positionH>
            <wp:positionV relativeFrom="paragraph">
              <wp:posOffset>302895</wp:posOffset>
            </wp:positionV>
            <wp:extent cx="6899275" cy="3514725"/>
            <wp:effectExtent l="0" t="0" r="15875" b="0"/>
            <wp:wrapTight wrapText="bothSides">
              <wp:wrapPolygon>
                <wp:start x="0" y="0"/>
                <wp:lineTo x="0" y="21541"/>
                <wp:lineTo x="21530" y="21541"/>
                <wp:lineTo x="21530" y="0"/>
                <wp:lineTo x="0" y="0"/>
              </wp:wrapPolygon>
            </wp:wrapTight>
            <wp:docPr id="2" name="图片 2" descr="微信图片_2022101310283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3102831_副本"/>
                    <pic:cNvPicPr>
                      <a:picLocks noChangeAspect="1"/>
                    </pic:cNvPicPr>
                  </pic:nvPicPr>
                  <pic:blipFill>
                    <a:blip r:embed="rId4"/>
                    <a:stretch>
                      <a:fillRect/>
                    </a:stretch>
                  </pic:blipFill>
                  <pic:spPr>
                    <a:xfrm>
                      <a:off x="0" y="0"/>
                      <a:ext cx="6899275" cy="3514725"/>
                    </a:xfrm>
                    <a:prstGeom prst="rect">
                      <a:avLst/>
                    </a:prstGeom>
                  </pic:spPr>
                </pic:pic>
              </a:graphicData>
            </a:graphic>
          </wp:anchor>
        </w:drawing>
      </w:r>
    </w:p>
    <w:p>
      <w:pPr>
        <w:widowControl/>
        <w:shd w:val="clear" w:color="auto" w:fill="FFFFFF"/>
        <w:spacing w:after="120" w:line="362" w:lineRule="atLeast"/>
        <w:rPr>
          <w:rFonts w:hint="eastAsia" w:ascii="宋体" w:hAnsi="宋体" w:eastAsia="宋体" w:cs="宋体"/>
          <w:b/>
          <w:bCs/>
          <w:color w:val="FF0000"/>
          <w:kern w:val="0"/>
          <w:sz w:val="20"/>
          <w:szCs w:val="20"/>
          <w:lang w:eastAsia="zh-CN"/>
        </w:rPr>
      </w:pPr>
    </w:p>
    <w:sectPr>
      <w:pgSz w:w="11906" w:h="16838"/>
      <w:pgMar w:top="760" w:right="1800" w:bottom="816"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AEB5059"/>
    <w:rsid w:val="0AFB22DA"/>
    <w:rsid w:val="0B2920CA"/>
    <w:rsid w:val="0BFE3D4E"/>
    <w:rsid w:val="14654E00"/>
    <w:rsid w:val="16464EB2"/>
    <w:rsid w:val="19112AEE"/>
    <w:rsid w:val="1B5560ED"/>
    <w:rsid w:val="1CA76174"/>
    <w:rsid w:val="1F6B41E2"/>
    <w:rsid w:val="1FF8768D"/>
    <w:rsid w:val="21C70C14"/>
    <w:rsid w:val="24EF33AA"/>
    <w:rsid w:val="25437B09"/>
    <w:rsid w:val="2C606544"/>
    <w:rsid w:val="35083963"/>
    <w:rsid w:val="35115B6F"/>
    <w:rsid w:val="36C66A13"/>
    <w:rsid w:val="36CC5E63"/>
    <w:rsid w:val="394D376E"/>
    <w:rsid w:val="3A8441B7"/>
    <w:rsid w:val="3B110739"/>
    <w:rsid w:val="3CEE60E7"/>
    <w:rsid w:val="3DB34DE7"/>
    <w:rsid w:val="449F3F7A"/>
    <w:rsid w:val="453E46F8"/>
    <w:rsid w:val="47504458"/>
    <w:rsid w:val="48B92694"/>
    <w:rsid w:val="48BD2D58"/>
    <w:rsid w:val="4A4F7391"/>
    <w:rsid w:val="4BB02F02"/>
    <w:rsid w:val="4CA37ED0"/>
    <w:rsid w:val="51D16748"/>
    <w:rsid w:val="5764438B"/>
    <w:rsid w:val="5AF86574"/>
    <w:rsid w:val="5CC66133"/>
    <w:rsid w:val="5D7968FF"/>
    <w:rsid w:val="5EE244FB"/>
    <w:rsid w:val="5F1C4C80"/>
    <w:rsid w:val="63D41431"/>
    <w:rsid w:val="6783718C"/>
    <w:rsid w:val="683662CC"/>
    <w:rsid w:val="692E7168"/>
    <w:rsid w:val="6A083BFC"/>
    <w:rsid w:val="6A6A1C42"/>
    <w:rsid w:val="6C1C4619"/>
    <w:rsid w:val="6D8F6E20"/>
    <w:rsid w:val="73215507"/>
    <w:rsid w:val="73806B30"/>
    <w:rsid w:val="752910D0"/>
    <w:rsid w:val="76C422D5"/>
    <w:rsid w:val="7BD37DCB"/>
    <w:rsid w:val="7CE21735"/>
    <w:rsid w:val="7F3F75CE"/>
    <w:rsid w:val="7FA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01"/>
    <w:basedOn w:val="6"/>
    <w:qFormat/>
    <w:uiPriority w:val="0"/>
    <w:rPr>
      <w:rFonts w:hint="default" w:ascii="Times New Roman" w:hAnsi="Times New Roman" w:cs="Times New Roman"/>
      <w:color w:val="000000"/>
      <w:sz w:val="22"/>
      <w:szCs w:val="22"/>
      <w:u w:val="none"/>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51"/>
    <w:basedOn w:val="6"/>
    <w:qFormat/>
    <w:uiPriority w:val="0"/>
    <w:rPr>
      <w:rFonts w:hint="default" w:ascii="Times New Roman" w:hAnsi="Times New Roman" w:cs="Times New Roman"/>
      <w:color w:val="000000"/>
      <w:sz w:val="22"/>
      <w:szCs w:val="22"/>
      <w:u w:val="none"/>
    </w:rPr>
  </w:style>
  <w:style w:type="character" w:customStyle="1" w:styleId="14">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284</Words>
  <Characters>1621</Characters>
  <Lines>13</Lines>
  <Paragraphs>3</Paragraphs>
  <TotalTime>13</TotalTime>
  <ScaleCrop>false</ScaleCrop>
  <LinksUpToDate>false</LinksUpToDate>
  <CharactersWithSpaces>1902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2022-11-11T05:09:21Z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37EA89F0F1094C8B87E718477FF0142C</vt:lpwstr>
  </property>
</Properties>
</file>