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2023年</w:t>
      </w:r>
      <w:r>
        <w:rPr>
          <w:rFonts w:hint="eastAsia" w:ascii="黑体" w:hAnsi="黑体" w:eastAsia="黑体"/>
          <w:b/>
          <w:bCs/>
          <w:sz w:val="52"/>
          <w:szCs w:val="52"/>
          <w:lang w:val="en-US" w:eastAsia="zh-CN"/>
        </w:rPr>
        <w:t>7</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w:t>
      </w:r>
      <w:r>
        <w:rPr>
          <w:rFonts w:hint="eastAsia" w:ascii="宋体" w:hAnsi="宋体"/>
          <w:sz w:val="28"/>
          <w:szCs w:val="28"/>
          <w:lang w:val="en-US" w:eastAsia="zh-CN"/>
        </w:rPr>
        <w:t>12</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七</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w:t>
      </w:r>
      <w:r>
        <w:rPr>
          <w:rFonts w:hint="eastAsia" w:ascii="宋体" w:hAnsi="宋体"/>
          <w:sz w:val="24"/>
          <w:szCs w:val="24"/>
          <w:lang w:val="en-US" w:eastAsia="zh-CN"/>
        </w:rPr>
        <w:t>12</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办公楼门厅屋顶漏水维修；办公楼三楼女洗手间更换地砖；三期汽车拆解大厅总务临时仓库西侧窗户贴防晒膜；汽车拆解大厅屋面落水管疏通、清理及屋面垃圾外运；楼梯侧面修补；三万吨二期地面收集坑玻璃钢防渗；三万吨碱液循环池顶面增加混凝土设备安放平台；三万吨处理池边增加设备平台</w:t>
      </w:r>
      <w:r>
        <w:rPr>
          <w:rFonts w:hint="eastAsia" w:asciiTheme="minorEastAsia" w:hAnsiTheme="minorEastAsia" w:eastAsiaTheme="minorEastAsia"/>
          <w:sz w:val="24"/>
          <w:szCs w:val="24"/>
          <w:lang w:eastAsia="zh-CN"/>
        </w:rPr>
        <w:t>；B8设备基础采用C40灌浆料对设备基础预留孔灌浆；申连通车间大门增加防大风止摆装置</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消防水池西侧增加加固挡墙</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三万吨北侧路面硬化</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64428451"/>
      <w:bookmarkStart w:id="1" w:name="_Toc232936379"/>
      <w:bookmarkStart w:id="2" w:name="_Toc144884189"/>
      <w:bookmarkStart w:id="3" w:name="_Toc122510034"/>
      <w:bookmarkStart w:id="4" w:name="_Toc226536785"/>
      <w:bookmarkStart w:id="5" w:name="_Toc73429364"/>
      <w:bookmarkStart w:id="6" w:name="_Toc104370869"/>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46619100"/>
      <w:bookmarkStart w:id="8" w:name="_Toc232936380"/>
      <w:bookmarkStart w:id="9" w:name="_Toc64428452"/>
      <w:bookmarkStart w:id="10" w:name="_Toc104370870"/>
      <w:bookmarkStart w:id="11" w:name="_Toc122510035"/>
      <w:bookmarkStart w:id="12" w:name="_Toc73429365"/>
      <w:bookmarkStart w:id="13" w:name="_Toc14488419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鑫广绿环再生资源股份有限公司2023年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月2</w:t>
            </w:r>
            <w:r>
              <w:rPr>
                <w:rFonts w:hint="eastAsia" w:ascii="宋体" w:hAnsi="宋体"/>
                <w:sz w:val="24"/>
                <w:szCs w:val="24"/>
                <w:lang w:val="en-US" w:eastAsia="zh-CN"/>
              </w:rPr>
              <w:t>6</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月2</w:t>
            </w:r>
            <w:r>
              <w:rPr>
                <w:rFonts w:hint="eastAsia" w:ascii="宋体" w:hAnsi="宋体"/>
                <w:sz w:val="24"/>
                <w:szCs w:val="24"/>
                <w:lang w:val="en-US" w:eastAsia="zh-CN"/>
              </w:rPr>
              <w:t>7</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bookmarkStart w:id="317" w:name="_GoBack"/>
            <w:bookmarkEnd w:id="317"/>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28</w:t>
            </w:r>
            <w:r>
              <w:rPr>
                <w:rFonts w:hint="eastAsia" w:ascii="宋体" w:hAnsi="宋体"/>
                <w:sz w:val="24"/>
                <w:szCs w:val="24"/>
              </w:rPr>
              <w:t>日9时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28</w:t>
            </w:r>
            <w:r>
              <w:rPr>
                <w:rFonts w:hint="eastAsia" w:ascii="宋体" w:hAnsi="宋体"/>
                <w:sz w:val="24"/>
                <w:szCs w:val="24"/>
              </w:rPr>
              <w:t>日9时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23年</w:t>
            </w:r>
            <w:r>
              <w:rPr>
                <w:rFonts w:hint="eastAsia" w:ascii="宋体" w:hAnsi="宋体"/>
                <w:b/>
                <w:sz w:val="24"/>
                <w:szCs w:val="24"/>
                <w:highlight w:val="yellow"/>
                <w:lang w:val="en-US" w:eastAsia="zh-CN"/>
              </w:rPr>
              <w:t>7</w:t>
            </w:r>
            <w:r>
              <w:rPr>
                <w:rFonts w:hint="eastAsia" w:ascii="宋体" w:hAnsi="宋体"/>
                <w:b/>
                <w:sz w:val="24"/>
                <w:szCs w:val="24"/>
                <w:highlight w:val="yellow"/>
              </w:rPr>
              <w:t>月</w:t>
            </w:r>
            <w:r>
              <w:rPr>
                <w:rFonts w:hint="eastAsia" w:ascii="宋体" w:hAnsi="宋体"/>
                <w:b/>
                <w:sz w:val="24"/>
                <w:szCs w:val="24"/>
                <w:highlight w:val="yellow"/>
                <w:lang w:val="en-US" w:eastAsia="zh-CN"/>
              </w:rPr>
              <w:t>28</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16</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226536787"/>
      <w:bookmarkStart w:id="36" w:name="_Toc104370871"/>
      <w:bookmarkStart w:id="37" w:name="_Toc232936381"/>
      <w:bookmarkStart w:id="38" w:name="_Toc73429366"/>
      <w:bookmarkStart w:id="39" w:name="_Toc144884191"/>
      <w:bookmarkStart w:id="40" w:name="_Toc122510049"/>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月1日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szCs w:val="24"/>
          <w:lang w:val="en-US" w:eastAsia="zh-CN"/>
        </w:rPr>
        <w:t>31</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26536791"/>
      <w:bookmarkStart w:id="50" w:name="_Toc144884195"/>
      <w:bookmarkStart w:id="51" w:name="_Toc122510084"/>
      <w:bookmarkStart w:id="52" w:name="_Toc232936389"/>
      <w:bookmarkStart w:id="53" w:name="_Toc73429372"/>
      <w:bookmarkStart w:id="54" w:name="_Toc104370877"/>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226536792"/>
      <w:bookmarkStart w:id="69" w:name="_Toc73429374"/>
      <w:bookmarkStart w:id="70" w:name="_Toc232936391"/>
      <w:bookmarkStart w:id="71" w:name="_Toc104370879"/>
      <w:bookmarkStart w:id="72" w:name="_Toc144884196"/>
      <w:bookmarkStart w:id="73" w:name="_Toc122510101"/>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226536793"/>
      <w:bookmarkStart w:id="76" w:name="_Toc104370880"/>
      <w:bookmarkStart w:id="77" w:name="_Toc144884197"/>
      <w:bookmarkStart w:id="78" w:name="_Toc122510103"/>
      <w:bookmarkStart w:id="79" w:name="_Toc232936392"/>
      <w:bookmarkStart w:id="80" w:name="_Toc73429375"/>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04370881"/>
      <w:bookmarkStart w:id="84" w:name="_Toc73429376"/>
      <w:bookmarkStart w:id="85" w:name="_Toc144884198"/>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104370882"/>
      <w:bookmarkStart w:id="90" w:name="_Toc232936394"/>
      <w:bookmarkStart w:id="91" w:name="_Toc226536795"/>
      <w:bookmarkStart w:id="92" w:name="_Toc122510114"/>
      <w:bookmarkStart w:id="93" w:name="_Toc73429377"/>
      <w:bookmarkStart w:id="94" w:name="_Toc144884199"/>
      <w:bookmarkStart w:id="95" w:name="_Toc64428462"/>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122510117"/>
      <w:bookmarkStart w:id="99" w:name="_Toc144884200"/>
      <w:bookmarkStart w:id="100" w:name="_Toc64428463"/>
      <w:bookmarkStart w:id="101" w:name="_Toc232936395"/>
      <w:bookmarkStart w:id="102" w:name="_Toc104370883"/>
      <w:bookmarkStart w:id="103" w:name="_Toc73429378"/>
      <w:bookmarkStart w:id="104" w:name="_Toc226536796"/>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73429379"/>
      <w:bookmarkStart w:id="107" w:name="_Toc232936396"/>
      <w:bookmarkStart w:id="108" w:name="_Toc4687775"/>
      <w:bookmarkStart w:id="109" w:name="_Toc144884201"/>
      <w:bookmarkStart w:id="110" w:name="_Toc64428464"/>
      <w:bookmarkStart w:id="111" w:name="_Toc4594320"/>
      <w:bookmarkStart w:id="112" w:name="_Toc104370884"/>
      <w:bookmarkStart w:id="113" w:name="_Toc226536797"/>
      <w:bookmarkStart w:id="114" w:name="_Toc122510118"/>
      <w:bookmarkStart w:id="115" w:name="_Toc7265872"/>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226536798"/>
      <w:bookmarkStart w:id="120" w:name="_Toc122510121"/>
      <w:bookmarkStart w:id="121" w:name="_Toc64428465"/>
      <w:bookmarkStart w:id="122" w:name="_Toc232936397"/>
      <w:bookmarkStart w:id="123" w:name="_Toc144884202"/>
      <w:bookmarkStart w:id="124" w:name="_Toc4594322"/>
      <w:bookmarkStart w:id="125" w:name="_Toc104370885"/>
      <w:bookmarkStart w:id="126" w:name="_Toc7265874"/>
      <w:bookmarkStart w:id="127" w:name="_Toc4687777"/>
      <w:bookmarkStart w:id="128" w:name="_Toc73429380"/>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226536799"/>
      <w:bookmarkStart w:id="131" w:name="_Toc104370886"/>
      <w:bookmarkStart w:id="132" w:name="_Toc73429381"/>
      <w:bookmarkStart w:id="133" w:name="_Toc7265876"/>
      <w:bookmarkStart w:id="134" w:name="_Toc4594324"/>
      <w:bookmarkStart w:id="135" w:name="_Toc122510131"/>
      <w:bookmarkStart w:id="136" w:name="_Toc144884203"/>
      <w:bookmarkStart w:id="137" w:name="_Toc4687779"/>
      <w:bookmarkStart w:id="138" w:name="_Toc64428466"/>
      <w:bookmarkStart w:id="139" w:name="_Toc232936398"/>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64428479"/>
      <w:bookmarkStart w:id="142" w:name="_Toc104370898"/>
      <w:bookmarkStart w:id="143" w:name="_Toc122510213"/>
      <w:bookmarkStart w:id="144" w:name="_Toc232936410"/>
      <w:bookmarkStart w:id="145" w:name="_Toc73429394"/>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226536800"/>
      <w:bookmarkStart w:id="152" w:name="_Toc64428467"/>
      <w:bookmarkStart w:id="153" w:name="_Toc122510138"/>
      <w:bookmarkStart w:id="154" w:name="_Toc4594325"/>
      <w:bookmarkStart w:id="155" w:name="_Toc73429382"/>
      <w:bookmarkStart w:id="156" w:name="_Toc4687780"/>
      <w:bookmarkStart w:id="157" w:name="_Toc144884204"/>
      <w:bookmarkStart w:id="158" w:name="_Toc104370887"/>
      <w:bookmarkStart w:id="159" w:name="_Toc7265877"/>
      <w:bookmarkStart w:id="160" w:name="_Toc232936399"/>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7265880"/>
      <w:bookmarkStart w:id="166" w:name="_Toc4687783"/>
      <w:bookmarkStart w:id="167" w:name="_Toc122510150"/>
      <w:bookmarkStart w:id="168" w:name="_Toc144884205"/>
      <w:bookmarkStart w:id="169" w:name="_Toc226536801"/>
      <w:bookmarkStart w:id="170" w:name="_Toc232936400"/>
      <w:bookmarkStart w:id="171" w:name="_Toc4594328"/>
      <w:bookmarkStart w:id="172" w:name="_Toc64428468"/>
      <w:bookmarkStart w:id="173" w:name="_Toc73429383"/>
      <w:bookmarkStart w:id="174" w:name="_Toc104370888"/>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4594327"/>
      <w:bookmarkStart w:id="179" w:name="_Toc4687782"/>
      <w:bookmarkStart w:id="180" w:name="_Toc7265879"/>
      <w:bookmarkStart w:id="181" w:name="_Toc144884206"/>
      <w:bookmarkStart w:id="182" w:name="_Toc232936401"/>
      <w:bookmarkStart w:id="183" w:name="_Toc104370889"/>
      <w:bookmarkStart w:id="184" w:name="_Toc64428469"/>
      <w:bookmarkStart w:id="185" w:name="_Toc226536802"/>
      <w:bookmarkStart w:id="186" w:name="_Toc122510156"/>
      <w:bookmarkStart w:id="187" w:name="_Toc73429384"/>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4687784"/>
      <w:bookmarkStart w:id="193" w:name="_Toc104370890"/>
      <w:bookmarkStart w:id="194" w:name="_Toc144884207"/>
      <w:bookmarkStart w:id="195" w:name="_Toc7265881"/>
      <w:bookmarkStart w:id="196" w:name="_Toc73429385"/>
      <w:bookmarkStart w:id="197" w:name="_Toc232936402"/>
      <w:bookmarkStart w:id="198" w:name="_Toc4594329"/>
      <w:bookmarkStart w:id="199" w:name="_Toc64428470"/>
      <w:bookmarkStart w:id="200" w:name="_Toc226536803"/>
      <w:bookmarkStart w:id="201" w:name="_Toc122510160"/>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20．投标文件材料的澄清"/>
      <w:bookmarkEnd w:id="202"/>
      <w:bookmarkStart w:id="203" w:name="_19．过程保密"/>
      <w:bookmarkEnd w:id="203"/>
      <w:bookmarkStart w:id="204" w:name="_Toc7265883"/>
      <w:bookmarkStart w:id="205" w:name="_Toc226536805"/>
      <w:bookmarkStart w:id="206" w:name="_Toc144884209"/>
      <w:bookmarkStart w:id="207" w:name="_Toc4687786"/>
      <w:bookmarkStart w:id="208" w:name="_Toc73429387"/>
      <w:bookmarkStart w:id="209" w:name="_Toc122510174"/>
      <w:bookmarkStart w:id="210" w:name="_Toc64428472"/>
      <w:bookmarkStart w:id="211" w:name="_Toc4594331"/>
      <w:bookmarkStart w:id="212" w:name="_Toc104370892"/>
      <w:bookmarkStart w:id="213" w:name="_Toc232936404"/>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7265886"/>
      <w:bookmarkStart w:id="217" w:name="_Toc64428473"/>
      <w:bookmarkStart w:id="218" w:name="_Toc232936405"/>
      <w:bookmarkStart w:id="219" w:name="_Toc4687789"/>
      <w:bookmarkStart w:id="220" w:name="_Toc4594334"/>
      <w:bookmarkStart w:id="221" w:name="_Toc122510177"/>
      <w:bookmarkStart w:id="222" w:name="_Toc226536806"/>
      <w:bookmarkStart w:id="223" w:name="_Toc104370893"/>
      <w:bookmarkStart w:id="224" w:name="_Toc73429388"/>
      <w:bookmarkStart w:id="225" w:name="_Toc144884210"/>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32936407"/>
      <w:bookmarkStart w:id="230" w:name="_Toc226536808"/>
      <w:bookmarkStart w:id="231" w:name="_Toc144884212"/>
      <w:bookmarkStart w:id="232" w:name="_Toc4594333"/>
      <w:bookmarkStart w:id="233" w:name="_Toc122510187"/>
      <w:bookmarkStart w:id="234" w:name="_Toc64428475"/>
      <w:bookmarkStart w:id="235" w:name="_Toc104370895"/>
      <w:bookmarkStart w:id="236" w:name="_Toc4687788"/>
      <w:bookmarkStart w:id="237" w:name="_Toc73429390"/>
      <w:bookmarkStart w:id="238" w:name="_Toc7265885"/>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44884213"/>
      <w:bookmarkStart w:id="245" w:name="_Toc10522126"/>
      <w:bookmarkStart w:id="246" w:name="_Toc226536809"/>
      <w:bookmarkStart w:id="247" w:name="_Toc122510192"/>
      <w:bookmarkStart w:id="248" w:name="_Toc8809156"/>
      <w:bookmarkStart w:id="249" w:name="_Toc232936408"/>
      <w:bookmarkStart w:id="250" w:name="_Toc10369773"/>
      <w:bookmarkStart w:id="251" w:name="_Toc10278503"/>
      <w:bookmarkStart w:id="252" w:name="_Toc10369654"/>
      <w:bookmarkStart w:id="253" w:name="_Toc10278630"/>
      <w:bookmarkStart w:id="254" w:name="_Toc11947445"/>
      <w:bookmarkStart w:id="255" w:name="_Toc104370896"/>
      <w:bookmarkStart w:id="256" w:name="_Toc11652377"/>
      <w:bookmarkStart w:id="257" w:name="_Toc73429391"/>
      <w:bookmarkStart w:id="258" w:name="_Toc64428476"/>
      <w:bookmarkStart w:id="259" w:name="_Toc31256999"/>
      <w:bookmarkStart w:id="260" w:name="_Toc10270609"/>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144884215"/>
      <w:bookmarkStart w:id="265" w:name="_Toc226536811"/>
      <w:bookmarkStart w:id="266" w:name="_Toc232936431"/>
      <w:bookmarkStart w:id="267" w:name="_Toc104370922"/>
      <w:bookmarkStart w:id="268" w:name="_Toc73429431"/>
      <w:bookmarkStart w:id="269" w:name="_Toc64428497"/>
      <w:bookmarkStart w:id="270" w:name="_Toc12251031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226536814"/>
      <w:bookmarkStart w:id="272" w:name="_Toc104370919"/>
      <w:bookmarkStart w:id="273" w:name="_Toc122510259"/>
      <w:bookmarkStart w:id="274" w:name="_Toc73429428"/>
      <w:bookmarkStart w:id="275" w:name="_Toc64428495"/>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104370920"/>
      <w:bookmarkStart w:id="283" w:name="_Toc226536815"/>
      <w:bookmarkStart w:id="284" w:name="_Toc64428496"/>
      <w:bookmarkStart w:id="285" w:name="_Toc73429429"/>
      <w:bookmarkStart w:id="286" w:name="_Toc12251026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bidi w:val="0"/>
        <w:ind w:firstLine="511" w:firstLineChars="0"/>
        <w:jc w:val="left"/>
        <w:rPr>
          <w:rFonts w:hint="eastAsia" w:ascii="Calibri" w:hAnsi="Calibri" w:eastAsia="宋体" w:cs="Times New Roman"/>
          <w:kern w:val="2"/>
          <w:sz w:val="21"/>
          <w:szCs w:val="22"/>
          <w:lang w:val="en-US" w:eastAsia="zh-CN" w:bidi="ar-SA"/>
        </w:rPr>
      </w:pPr>
      <w:r>
        <w:rPr>
          <w:rFonts w:hint="eastAsia" w:asciiTheme="minorEastAsia" w:hAnsiTheme="minorEastAsia" w:eastAsiaTheme="minorEastAsia"/>
          <w:b/>
          <w:sz w:val="24"/>
          <w:szCs w:val="24"/>
          <w:lang w:val="en-US" w:eastAsia="zh-CN"/>
        </w:rPr>
        <w:t>原有设备平台结构图</w:t>
      </w:r>
      <w:r>
        <w:rPr>
          <w:rFonts w:hint="eastAsia" w:asciiTheme="minorEastAsia" w:hAnsiTheme="minorEastAsia" w:eastAsiaTheme="minorEastAsia"/>
          <w:b/>
          <w:sz w:val="24"/>
          <w:szCs w:val="24"/>
        </w:rPr>
        <w:t>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232936437"/>
      <w:bookmarkStart w:id="289" w:name="_Toc144884218"/>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1953839"/>
      <w:bookmarkStart w:id="292" w:name="_Toc10278649"/>
      <w:bookmarkStart w:id="293" w:name="_Toc10369795"/>
      <w:bookmarkStart w:id="294" w:name="_Toc11954664"/>
      <w:bookmarkStart w:id="295" w:name="_Toc12013013"/>
      <w:bookmarkStart w:id="296" w:name="_Toc31257020"/>
      <w:bookmarkStart w:id="297" w:name="_Toc13033232"/>
      <w:bookmarkStart w:id="298" w:name="_Toc13149801"/>
      <w:bookmarkStart w:id="299" w:name="_Toc11953581"/>
      <w:bookmarkStart w:id="300" w:name="_Toc64428498"/>
      <w:bookmarkStart w:id="301" w:name="_Toc12010594"/>
      <w:bookmarkStart w:id="302" w:name="_Toc12589398"/>
      <w:bookmarkStart w:id="303" w:name="_Toc10522148"/>
      <w:bookmarkStart w:id="304" w:name="_Toc73429432"/>
      <w:bookmarkStart w:id="305" w:name="_Toc10857688"/>
      <w:bookmarkStart w:id="306" w:name="_Toc13134241"/>
      <w:bookmarkStart w:id="307" w:name="_Toc10369676"/>
      <w:bookmarkStart w:id="308" w:name="_Toc11665011"/>
      <w:bookmarkStart w:id="309" w:name="_Toc12010486"/>
      <w:bookmarkStart w:id="310" w:name="_Toc13120857"/>
      <w:bookmarkStart w:id="311" w:name="_Toc10278522"/>
      <w:bookmarkStart w:id="312" w:name="_Toc17877696"/>
      <w:bookmarkStart w:id="313" w:name="_Toc12007779"/>
      <w:bookmarkStart w:id="314" w:name="_Toc181527644"/>
      <w:bookmarkStart w:id="315" w:name="_Toc10270628"/>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2023年</w:t>
      </w:r>
      <w:r>
        <w:rPr>
          <w:rFonts w:hint="eastAsia" w:ascii="宋体" w:hAnsi="宋体"/>
          <w:b/>
          <w:sz w:val="36"/>
          <w:szCs w:val="36"/>
          <w:lang w:val="en-US" w:eastAsia="zh-CN"/>
        </w:rPr>
        <w:t>7</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2023年</w:t>
      </w:r>
      <w:r>
        <w:rPr>
          <w:rFonts w:hint="eastAsia" w:ascii="宋体" w:hAnsi="宋体"/>
          <w:sz w:val="24"/>
          <w:lang w:val="en-US" w:eastAsia="zh-CN"/>
        </w:rPr>
        <w:t>7</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8</w:t>
      </w:r>
      <w:r>
        <w:rPr>
          <w:rFonts w:hint="eastAsia" w:ascii="宋体" w:hAnsi="宋体"/>
          <w:sz w:val="24"/>
          <w:szCs w:val="32"/>
          <w:highlight w:val="yellow"/>
          <w:u w:val="single"/>
        </w:rPr>
        <w:t>月1日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8</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1日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ascii="宋体" w:hAnsi="宋体"/>
          <w:b/>
          <w:sz w:val="24"/>
          <w:highlight w:val="yellow"/>
        </w:rPr>
      </w:pPr>
      <w:r>
        <w:rPr>
          <w:rFonts w:hint="eastAsia" w:ascii="宋体" w:hAnsi="宋体"/>
          <w:b/>
          <w:sz w:val="24"/>
          <w:highlight w:val="yellow"/>
        </w:rPr>
        <w:t>10、施工人员具有100万元保额的意外伤害保险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7</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甲方将建筑工程项目委托乙方施工，为了明确双方的安全生产责任，确保施工安全，双方在签订建筑工程合同的同时，签订本协议，双方必须严格执行。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9</w:t>
      </w:r>
      <w:r>
        <w:rPr>
          <w:rFonts w:ascii="宋体" w:hAnsi="宋体" w:cs="宋体"/>
          <w:kern w:val="0"/>
          <w:szCs w:val="21"/>
        </w:rPr>
        <w:t>、施工过程中如需使用水、电、气（压缩空气、天然气）等，</w:t>
      </w:r>
      <w:r>
        <w:rPr>
          <w:rFonts w:ascii="ˎ̥" w:hAnsi="ˎ̥" w:cs="宋体"/>
          <w:kern w:val="0"/>
          <w:szCs w:val="21"/>
        </w:rPr>
        <w:t>乙方</w:t>
      </w:r>
      <w:r>
        <w:rPr>
          <w:rFonts w:ascii="宋体" w:hAnsi="宋体" w:cs="宋体"/>
          <w:kern w:val="0"/>
          <w:szCs w:val="21"/>
        </w:rPr>
        <w:t>必须填写申请单经甲方同意，由专业人员指定接水、电、气地点，电器线路和管路连接规范，并由</w:t>
      </w:r>
      <w:r>
        <w:rPr>
          <w:rFonts w:ascii="ˎ̥" w:hAnsi="ˎ̥" w:cs="宋体"/>
          <w:kern w:val="0"/>
          <w:szCs w:val="21"/>
        </w:rPr>
        <w:t>乙方</w:t>
      </w:r>
      <w:r>
        <w:rPr>
          <w:rFonts w:ascii="宋体" w:hAnsi="宋体" w:cs="宋体"/>
          <w:kern w:val="0"/>
          <w:szCs w:val="21"/>
        </w:rPr>
        <w:t>安装合格计量仪表后方可使用。所需费用由</w:t>
      </w:r>
      <w:r>
        <w:rPr>
          <w:rFonts w:ascii="ˎ̥" w:hAnsi="ˎ̥" w:cs="宋体"/>
          <w:kern w:val="0"/>
          <w:szCs w:val="21"/>
        </w:rPr>
        <w:t>乙方</w:t>
      </w:r>
      <w:r>
        <w:rPr>
          <w:rFonts w:ascii="宋体" w:hAnsi="宋体" w:cs="宋体"/>
          <w:kern w:val="0"/>
          <w:szCs w:val="21"/>
        </w:rPr>
        <w:t>负担</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highlight w:val="yellow"/>
        </w:rPr>
      </w:pPr>
      <w:r>
        <w:rPr>
          <w:rFonts w:hint="eastAsia" w:ascii="ˎ̥" w:hAnsi="ˎ̥" w:cs="宋体"/>
          <w:kern w:val="0"/>
          <w:szCs w:val="21"/>
          <w:highlight w:val="yellow"/>
        </w:rPr>
        <w:t>19、</w:t>
      </w:r>
      <w:r>
        <w:rPr>
          <w:rFonts w:hint="eastAsia" w:ascii="ˎ̥" w:hAnsi="ˎ̥" w:cs="宋体"/>
          <w:kern w:val="0"/>
          <w:szCs w:val="21"/>
          <w:highlight w:val="yellow"/>
          <w:lang w:val="en-US" w:eastAsia="zh-CN"/>
        </w:rPr>
        <w:t>乙方</w:t>
      </w:r>
      <w:r>
        <w:rPr>
          <w:rFonts w:ascii="ˎ̥" w:hAnsi="ˎ̥" w:cs="宋体"/>
          <w:kern w:val="0"/>
          <w:szCs w:val="21"/>
          <w:highlight w:val="yellow"/>
        </w:rPr>
        <w:t>必须服从甲方的安全管理规定</w:t>
      </w:r>
      <w:r>
        <w:rPr>
          <w:rFonts w:hint="eastAsia" w:ascii="ˎ̥" w:hAnsi="ˎ̥" w:cs="宋体"/>
          <w:kern w:val="0"/>
          <w:szCs w:val="21"/>
          <w:highlight w:val="yellow"/>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hint="eastAsia" w:ascii="ˎ̥" w:hAnsi="ˎ̥" w:cs="宋体"/>
          <w:kern w:val="0"/>
          <w:szCs w:val="21"/>
        </w:rPr>
      </w:pPr>
      <w:r>
        <w:rPr>
          <w:rFonts w:ascii="ˎ̥" w:hAnsi="ˎ̥" w:cs="宋体"/>
          <w:kern w:val="0"/>
          <w:szCs w:val="21"/>
          <w:highlight w:val="yellow"/>
        </w:rPr>
        <w:t>20</w:t>
      </w:r>
      <w:r>
        <w:rPr>
          <w:rFonts w:hint="eastAsia" w:ascii="ˎ̥" w:hAnsi="ˎ̥" w:cs="宋体"/>
          <w:kern w:val="0"/>
          <w:szCs w:val="21"/>
          <w:highlight w:val="yellow"/>
        </w:rPr>
        <w:t>、</w:t>
      </w:r>
      <w:r>
        <w:rPr>
          <w:rFonts w:hint="eastAsia" w:ascii="ˎ̥" w:hAnsi="ˎ̥" w:cs="宋体"/>
          <w:kern w:val="0"/>
          <w:szCs w:val="21"/>
          <w:highlight w:val="yellow"/>
          <w:lang w:val="en-US" w:eastAsia="zh-CN"/>
        </w:rPr>
        <w:t>乙</w:t>
      </w:r>
      <w:r>
        <w:rPr>
          <w:rFonts w:ascii="ˎ̥" w:hAnsi="ˎ̥" w:cs="宋体"/>
          <w:kern w:val="0"/>
          <w:szCs w:val="21"/>
          <w:highlight w:val="yellow"/>
        </w:rPr>
        <w:t>方的建筑垃圾必须合规合法处理，不得私自乱倒乱丢，施工过程符合现行环境保护的要求，不得随意排放污水和普废</w:t>
      </w:r>
      <w:r>
        <w:rPr>
          <w:rFonts w:hint="eastAsia" w:ascii="ˎ̥" w:hAnsi="ˎ̥" w:cs="宋体"/>
          <w:kern w:val="0"/>
          <w:szCs w:val="21"/>
          <w:highlight w:val="yellow"/>
        </w:rPr>
        <w:t>垃圾。</w:t>
      </w:r>
      <w:r>
        <w:rPr>
          <w:rFonts w:hint="eastAsia" w:ascii="ˎ̥" w:hAnsi="ˎ̥" w:cs="宋体"/>
          <w:kern w:val="0"/>
          <w:szCs w:val="21"/>
        </w:rPr>
        <w:t>施工</w:t>
      </w:r>
      <w:r>
        <w:rPr>
          <w:rFonts w:ascii="ˎ̥" w:hAnsi="ˎ̥" w:cs="宋体"/>
          <w:kern w:val="0"/>
          <w:szCs w:val="21"/>
        </w:rPr>
        <w:t>过程中需要做到扬尘及废水处理措施，达到环保要求。</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b/>
          <w:kern w:val="0"/>
          <w:szCs w:val="21"/>
          <w:highlight w:val="yellow"/>
        </w:rPr>
      </w:pPr>
      <w:r>
        <w:rPr>
          <w:rFonts w:ascii="ˎ̥" w:hAnsi="ˎ̥" w:cs="宋体"/>
          <w:kern w:val="0"/>
          <w:szCs w:val="21"/>
          <w:highlight w:val="yellow"/>
        </w:rPr>
        <w:t>21、</w:t>
      </w:r>
      <w:r>
        <w:rPr>
          <w:rFonts w:hint="eastAsia" w:ascii="ˎ̥" w:hAnsi="ˎ̥" w:cs="宋体"/>
          <w:b/>
          <w:kern w:val="0"/>
          <w:szCs w:val="21"/>
          <w:highlight w:val="yellow"/>
          <w:lang w:val="en-US" w:eastAsia="zh-CN"/>
        </w:rPr>
        <w:t>乙</w:t>
      </w:r>
      <w:r>
        <w:rPr>
          <w:rFonts w:hint="eastAsia" w:ascii="ˎ̥" w:hAnsi="ˎ̥" w:cs="宋体"/>
          <w:b/>
          <w:kern w:val="0"/>
          <w:szCs w:val="21"/>
          <w:highlight w:val="yellow"/>
        </w:rPr>
        <w:t>方必须为本工程施工人员投保</w:t>
      </w:r>
      <w:r>
        <w:rPr>
          <w:rFonts w:hint="eastAsia" w:ascii="ˎ̥" w:hAnsi="ˎ̥" w:cs="宋体"/>
          <w:b/>
          <w:kern w:val="0"/>
          <w:szCs w:val="21"/>
          <w:highlight w:val="yellow"/>
          <w:lang w:val="en-US" w:eastAsia="zh-CN"/>
        </w:rPr>
        <w:t>职工</w:t>
      </w:r>
      <w:r>
        <w:rPr>
          <w:rFonts w:hint="eastAsia" w:ascii="ˎ̥" w:hAnsi="ˎ̥" w:cs="宋体"/>
          <w:b/>
          <w:kern w:val="0"/>
          <w:szCs w:val="21"/>
          <w:highlight w:val="yellow"/>
        </w:rPr>
        <w:t>工伤保险</w:t>
      </w:r>
      <w:r>
        <w:rPr>
          <w:rFonts w:hint="eastAsia" w:ascii="ˎ̥" w:hAnsi="ˎ̥" w:cs="宋体"/>
          <w:b/>
          <w:kern w:val="0"/>
          <w:szCs w:val="21"/>
          <w:highlight w:val="yellow"/>
          <w:lang w:val="en-US" w:eastAsia="zh-CN"/>
        </w:rPr>
        <w:t>或</w:t>
      </w:r>
      <w:r>
        <w:rPr>
          <w:rFonts w:hint="eastAsia" w:ascii="ˎ̥" w:hAnsi="ˎ̥" w:cs="宋体"/>
          <w:b/>
          <w:kern w:val="0"/>
          <w:szCs w:val="21"/>
          <w:highlight w:val="yellow"/>
        </w:rPr>
        <w:t>意外伤害保险</w:t>
      </w:r>
      <w:r>
        <w:rPr>
          <w:rFonts w:hint="eastAsia" w:ascii="ˎ̥" w:hAnsi="ˎ̥" w:cs="宋体"/>
          <w:b/>
          <w:kern w:val="0"/>
          <w:szCs w:val="21"/>
          <w:highlight w:val="yellow"/>
          <w:lang w:eastAsia="zh-CN"/>
        </w:rPr>
        <w:t>（</w:t>
      </w:r>
      <w:r>
        <w:rPr>
          <w:rFonts w:hint="eastAsia" w:ascii="ˎ̥" w:hAnsi="ˎ̥" w:cs="宋体"/>
          <w:b/>
          <w:kern w:val="0"/>
          <w:szCs w:val="21"/>
          <w:highlight w:val="yellow"/>
        </w:rPr>
        <w:t>不得低于100万</w:t>
      </w:r>
      <w:r>
        <w:rPr>
          <w:rFonts w:hint="eastAsia" w:ascii="ˎ̥" w:hAnsi="ˎ̥" w:cs="宋体"/>
          <w:b/>
          <w:kern w:val="0"/>
          <w:szCs w:val="21"/>
          <w:highlight w:val="yellow"/>
          <w:lang w:eastAsia="zh-CN"/>
        </w:rPr>
        <w:t>）</w:t>
      </w:r>
      <w:r>
        <w:rPr>
          <w:rFonts w:hint="eastAsia" w:ascii="ˎ̥" w:hAnsi="ˎ̥" w:cs="宋体"/>
          <w:b/>
          <w:kern w:val="0"/>
          <w:szCs w:val="21"/>
          <w:highlight w:val="yellow"/>
        </w:rPr>
        <w:t>。</w:t>
      </w:r>
    </w:p>
    <w:p>
      <w:pPr>
        <w:keepNext w:val="0"/>
        <w:keepLines w:val="0"/>
        <w:pageBreakBefore w:val="0"/>
        <w:kinsoku/>
        <w:wordWrap/>
        <w:overflowPunct/>
        <w:topLinePunct w:val="0"/>
        <w:autoSpaceDE/>
        <w:autoSpaceDN/>
        <w:bidi w:val="0"/>
        <w:adjustRightInd/>
        <w:snapToGrid/>
        <w:spacing w:line="240" w:lineRule="atLeast"/>
        <w:jc w:val="left"/>
        <w:textAlignment w:val="auto"/>
        <w:rPr>
          <w:rFonts w:ascii="ˎ̥" w:hAnsi="ˎ̥" w:cs="宋体"/>
          <w:b/>
          <w:kern w:val="0"/>
          <w:szCs w:val="21"/>
          <w:highlight w:val="yellow"/>
        </w:rPr>
      </w:pPr>
      <w:r>
        <w:rPr>
          <w:rFonts w:hint="eastAsia" w:ascii="ˎ̥" w:hAnsi="ˎ̥" w:cs="宋体"/>
          <w:b/>
          <w:kern w:val="0"/>
          <w:szCs w:val="21"/>
          <w:highlight w:val="yellow"/>
        </w:rPr>
        <w:t>22</w:t>
      </w:r>
      <w:r>
        <w:rPr>
          <w:rFonts w:ascii="ˎ̥" w:hAnsi="ˎ̥" w:cs="宋体"/>
          <w:b/>
          <w:kern w:val="0"/>
          <w:szCs w:val="21"/>
          <w:highlight w:val="yellow"/>
        </w:rPr>
        <w:t>、</w:t>
      </w:r>
      <w:r>
        <w:rPr>
          <w:rFonts w:hint="eastAsia" w:ascii="ˎ̥" w:hAnsi="ˎ̥" w:cs="宋体"/>
          <w:b/>
          <w:kern w:val="0"/>
          <w:szCs w:val="21"/>
          <w:highlight w:val="yellow"/>
        </w:rPr>
        <w:t>危险作业，必须有专项施工方案，报安全部</w:t>
      </w:r>
      <w:r>
        <w:rPr>
          <w:rFonts w:ascii="ˎ̥" w:hAnsi="ˎ̥" w:cs="宋体"/>
          <w:b/>
          <w:kern w:val="0"/>
          <w:szCs w:val="21"/>
          <w:highlight w:val="yellow"/>
        </w:rPr>
        <w:t>郭凌宇</w:t>
      </w:r>
      <w:r>
        <w:rPr>
          <w:rFonts w:hint="eastAsia" w:ascii="ˎ̥" w:hAnsi="ˎ̥" w:cs="宋体"/>
          <w:b/>
          <w:kern w:val="0"/>
          <w:szCs w:val="21"/>
          <w:highlight w:val="yellow"/>
        </w:rPr>
        <w:t>处审批，严格按照方案作业。</w:t>
      </w:r>
    </w:p>
    <w:p>
      <w:pPr>
        <w:keepNext w:val="0"/>
        <w:keepLines w:val="0"/>
        <w:pageBreakBefore w:val="0"/>
        <w:kinsoku/>
        <w:wordWrap/>
        <w:overflowPunct/>
        <w:topLinePunct w:val="0"/>
        <w:autoSpaceDE/>
        <w:autoSpaceDN/>
        <w:bidi w:val="0"/>
        <w:adjustRightInd/>
        <w:snapToGrid/>
        <w:spacing w:line="240" w:lineRule="atLeast"/>
        <w:ind w:firstLine="422" w:firstLineChars="200"/>
        <w:jc w:val="left"/>
        <w:textAlignment w:val="auto"/>
        <w:rPr>
          <w:rFonts w:ascii="ˎ̥" w:hAnsi="ˎ̥" w:cs="宋体"/>
          <w:kern w:val="0"/>
          <w:szCs w:val="21"/>
        </w:rPr>
      </w:pPr>
      <w:r>
        <w:rPr>
          <w:rFonts w:ascii="ˎ̥" w:hAnsi="ˎ̥" w:cs="宋体"/>
          <w:b/>
          <w:kern w:val="0"/>
          <w:szCs w:val="21"/>
          <w:highlight w:val="yellow"/>
        </w:rPr>
        <w:t>乙方</w:t>
      </w:r>
      <w:r>
        <w:rPr>
          <w:rFonts w:hint="eastAsia" w:ascii="ˎ̥" w:hAnsi="ˎ̥" w:cs="宋体"/>
          <w:b/>
          <w:kern w:val="0"/>
          <w:szCs w:val="21"/>
          <w:highlight w:val="yellow"/>
        </w:rPr>
        <w:t>现场施工人员提前提供人员信息，报安全部审核。</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23</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24</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法人代表或法人委托人：　　　　　　　　　法人代表或法人委托人：</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联系电话：                                 </w:t>
      </w:r>
      <w:r>
        <w:rPr>
          <w:rFonts w:hint="eastAsia" w:ascii="ˎ̥" w:hAnsi="ˎ̥" w:cs="宋体"/>
          <w:kern w:val="0"/>
          <w:szCs w:val="21"/>
        </w:rPr>
        <w:t xml:space="preserve">           </w:t>
      </w:r>
      <w:r>
        <w:rPr>
          <w:rFonts w:ascii="ˎ̥" w:hAnsi="ˎ̥" w:cs="宋体"/>
          <w:kern w:val="0"/>
          <w:szCs w:val="21"/>
        </w:rPr>
        <w:t>   联系电话：</w:t>
      </w:r>
    </w:p>
    <w:p>
      <w:pPr>
        <w:widowControl/>
        <w:spacing w:before="100" w:beforeAutospacing="1" w:after="100" w:afterAutospacing="1" w:line="286" w:lineRule="exact"/>
        <w:jc w:val="left"/>
        <w:rPr>
          <w:rFonts w:ascii="ˎ̥" w:hAnsi="ˎ̥" w:cs="宋体"/>
          <w:kern w:val="0"/>
          <w:szCs w:val="21"/>
        </w:rPr>
      </w:pPr>
    </w:p>
    <w:p>
      <w:pPr>
        <w:rPr>
          <w:rFonts w:ascii="宋体" w:hAnsi="宋体"/>
          <w:szCs w:val="21"/>
        </w:rPr>
      </w:pPr>
      <w:r>
        <w:rPr>
          <w:rFonts w:ascii="宋体" w:hAnsi="宋体" w:cs="宋体"/>
          <w:kern w:val="0"/>
          <w:szCs w:val="21"/>
        </w:rPr>
        <w:t>　</w:t>
      </w:r>
      <w:r>
        <w:rPr>
          <w:rFonts w:hint="eastAsia" w:ascii="宋体" w:hAnsi="宋体" w:cs="宋体"/>
          <w:kern w:val="0"/>
          <w:szCs w:val="21"/>
        </w:rPr>
        <w:t xml:space="preserve">  </w:t>
      </w:r>
      <w:r>
        <w:rPr>
          <w:rFonts w:ascii="宋体" w:hAnsi="宋体" w:cs="宋体"/>
          <w:kern w:val="0"/>
          <w:szCs w:val="21"/>
        </w:rPr>
        <w:t>日期：</w:t>
      </w:r>
      <w:r>
        <w:rPr>
          <w:rFonts w:hint="eastAsia" w:ascii="宋体" w:hAnsi="宋体"/>
          <w:szCs w:val="21"/>
        </w:rPr>
        <w:t xml:space="preserve"> 2023年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rPr>
          <w:rFonts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66B5C42"/>
    <w:rsid w:val="0AE12A48"/>
    <w:rsid w:val="104B54DF"/>
    <w:rsid w:val="138B5BBC"/>
    <w:rsid w:val="1AC866B7"/>
    <w:rsid w:val="1B5508A0"/>
    <w:rsid w:val="1B9D41F9"/>
    <w:rsid w:val="1EDF6DFF"/>
    <w:rsid w:val="1F903C55"/>
    <w:rsid w:val="21600EDE"/>
    <w:rsid w:val="2B11741B"/>
    <w:rsid w:val="31CA56EC"/>
    <w:rsid w:val="34C206B5"/>
    <w:rsid w:val="34E77E65"/>
    <w:rsid w:val="38901DAF"/>
    <w:rsid w:val="3EE32071"/>
    <w:rsid w:val="3F482EDE"/>
    <w:rsid w:val="430D5439"/>
    <w:rsid w:val="43A818C3"/>
    <w:rsid w:val="47F6649C"/>
    <w:rsid w:val="49EA13EA"/>
    <w:rsid w:val="4A0F5F3A"/>
    <w:rsid w:val="4E0017EF"/>
    <w:rsid w:val="51494992"/>
    <w:rsid w:val="518F0307"/>
    <w:rsid w:val="518F6D6F"/>
    <w:rsid w:val="54601ABF"/>
    <w:rsid w:val="54686973"/>
    <w:rsid w:val="59774044"/>
    <w:rsid w:val="5CFD73AB"/>
    <w:rsid w:val="607B5C80"/>
    <w:rsid w:val="65031DA0"/>
    <w:rsid w:val="6A8077B0"/>
    <w:rsid w:val="6C1D3DA0"/>
    <w:rsid w:val="6FDB2297"/>
    <w:rsid w:val="704C0A9F"/>
    <w:rsid w:val="728C3AEF"/>
    <w:rsid w:val="73A90C2C"/>
    <w:rsid w:val="747E7615"/>
    <w:rsid w:val="770950C0"/>
    <w:rsid w:val="7AA26B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24</Pages>
  <Words>12555</Words>
  <Characters>13416</Characters>
  <Lines>106</Lines>
  <Paragraphs>30</Paragraphs>
  <TotalTime>90</TotalTime>
  <ScaleCrop>false</ScaleCrop>
  <LinksUpToDate>false</LinksUpToDate>
  <CharactersWithSpaces>14274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2023-07-25T06:09:50Z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041BE201D6C647768E9652168714AD63</vt:lpwstr>
  </property>
</Properties>
</file>