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rPr>
        <w:t>液碱及硫酸、盐酸年度招标书</w:t>
      </w:r>
    </w:p>
    <w:p>
      <w:pPr>
        <w:keepNext w:val="0"/>
        <w:keepLines w:val="0"/>
        <w:pageBreakBefore w:val="0"/>
        <w:widowControl/>
        <w:shd w:val="clear" w:color="auto" w:fill="FFFFFF"/>
        <w:kinsoku/>
        <w:wordWrap/>
        <w:overflowPunct/>
        <w:topLinePunct w:val="0"/>
        <w:autoSpaceDE/>
        <w:autoSpaceDN/>
        <w:bidi w:val="0"/>
        <w:spacing w:before="156" w:line="360" w:lineRule="auto"/>
        <w:jc w:val="left"/>
        <w:textAlignment w:val="auto"/>
        <w:rPr>
          <w:rFonts w:ascii="宋体" w:hAnsi="宋体" w:cs="Arial"/>
          <w:sz w:val="24"/>
          <w:szCs w:val="24"/>
        </w:rPr>
      </w:pPr>
      <w:r>
        <w:rPr>
          <w:rFonts w:hint="eastAsia" w:ascii="宋体" w:hAnsi="宋体" w:eastAsia="宋体" w:cs="宋体"/>
          <w:b/>
          <w:color w:val="000000"/>
          <w:kern w:val="0"/>
          <w:sz w:val="24"/>
          <w:szCs w:val="24"/>
        </w:rPr>
        <w:t>一、投标邀请</w:t>
      </w:r>
    </w:p>
    <w:p>
      <w:pPr>
        <w:keepNext w:val="0"/>
        <w:keepLines w:val="0"/>
        <w:pageBreakBefore w:val="0"/>
        <w:kinsoku/>
        <w:wordWrap/>
        <w:overflowPunct/>
        <w:topLinePunct w:val="0"/>
        <w:autoSpaceDE/>
        <w:autoSpaceDN/>
        <w:bidi w:val="0"/>
        <w:adjustRightInd w:val="0"/>
        <w:snapToGrid w:val="0"/>
        <w:spacing w:beforeLines="50" w:line="360" w:lineRule="auto"/>
        <w:ind w:left="239" w:leftChars="114"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鑫广绿环再生资源股份有限公司现对液碱、硫酸及盐酸进行年度招标，特邀请贵公司参加投标。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keepNext w:val="0"/>
        <w:keepLines w:val="0"/>
        <w:pageBreakBefore w:val="0"/>
        <w:kinsoku/>
        <w:wordWrap/>
        <w:overflowPunct/>
        <w:topLinePunct w:val="0"/>
        <w:autoSpaceDE/>
        <w:autoSpaceDN/>
        <w:bidi w:val="0"/>
        <w:adjustRightInd w:val="0"/>
        <w:snapToGrid w:val="0"/>
        <w:spacing w:beforeLines="50" w:line="360" w:lineRule="auto"/>
        <w:ind w:left="240" w:hanging="240" w:hangingChars="100"/>
        <w:textAlignment w:val="auto"/>
        <w:rPr>
          <w:rFonts w:ascii="宋体" w:hAnsi="宋体" w:cs="Arial"/>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项目内容：液碱、硫酸及盐酸年度招标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2.2投标人须具备专业资质，要求证照齐全，具备制作或者出售标的物的资质。</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2.3 投标人须至少有合作3家以上的业绩。</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2.4 提供产品出厂合格证书。</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sz w:val="24"/>
          <w:szCs w:val="24"/>
        </w:rPr>
      </w:pPr>
      <w:r>
        <w:rPr>
          <w:rFonts w:hint="eastAsia" w:ascii="宋体" w:hAnsi="宋体" w:cs="Arial"/>
          <w:sz w:val="24"/>
          <w:szCs w:val="24"/>
        </w:rPr>
        <w:t>2.5 相关产品属于危化易制毒品，需要具备危化品经营许可证、非药品类易制毒化学品经营备案证及运输资质等。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4</w:t>
      </w:r>
      <w:r>
        <w:rPr>
          <w:rFonts w:hint="eastAsia" w:ascii="宋体" w:hAnsi="宋体" w:cs="Arial"/>
          <w:sz w:val="24"/>
          <w:szCs w:val="24"/>
        </w:rPr>
        <w:t>年</w:t>
      </w:r>
      <w:r>
        <w:rPr>
          <w:rFonts w:hint="eastAsia" w:ascii="宋体" w:hAnsi="宋体" w:cs="Arial"/>
          <w:sz w:val="24"/>
          <w:szCs w:val="24"/>
          <w:lang w:val="en-US" w:eastAsia="zh-CN"/>
        </w:rPr>
        <w:t>2</w:t>
      </w:r>
      <w:r>
        <w:rPr>
          <w:rFonts w:hint="eastAsia" w:ascii="宋体" w:hAnsi="宋体" w:cs="Arial"/>
          <w:sz w:val="24"/>
          <w:szCs w:val="24"/>
        </w:rPr>
        <w:t>月</w:t>
      </w:r>
      <w:r>
        <w:rPr>
          <w:rFonts w:hint="eastAsia" w:ascii="宋体" w:hAnsi="宋体" w:cs="Arial"/>
          <w:sz w:val="24"/>
          <w:szCs w:val="24"/>
          <w:lang w:val="en-US" w:eastAsia="zh-CN"/>
        </w:rPr>
        <w:t>26</w:t>
      </w:r>
      <w:r>
        <w:rPr>
          <w:rFonts w:hint="eastAsia" w:ascii="宋体" w:hAnsi="宋体" w:cs="Arial"/>
          <w:sz w:val="24"/>
          <w:szCs w:val="24"/>
        </w:rPr>
        <w:t>日（周</w:t>
      </w:r>
      <w:r>
        <w:rPr>
          <w:rFonts w:hint="eastAsia" w:ascii="宋体" w:hAnsi="宋体" w:cs="Arial"/>
          <w:sz w:val="24"/>
          <w:szCs w:val="24"/>
          <w:lang w:val="en-US" w:eastAsia="zh-CN"/>
        </w:rPr>
        <w:t>一</w:t>
      </w:r>
      <w:r>
        <w:rPr>
          <w:rFonts w:hint="eastAsia" w:ascii="宋体" w:hAnsi="宋体" w:cs="Arial"/>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5</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hint="default" w:ascii="宋体" w:cs="Arial" w:eastAsiaTheme="minorEastAsia"/>
          <w:color w:val="000000"/>
          <w:sz w:val="24"/>
          <w:szCs w:val="24"/>
          <w:lang w:val="en-US" w:eastAsia="zh-CN"/>
        </w:rPr>
      </w:pPr>
      <w:r>
        <w:rPr>
          <w:rFonts w:hint="eastAsia" w:ascii="宋体" w:hAnsi="宋体" w:cs="Arial"/>
          <w:color w:val="000000"/>
          <w:sz w:val="24"/>
          <w:szCs w:val="24"/>
        </w:rPr>
        <w:t>3.6技术答疑部门：于经理（电话13583522631）</w:t>
      </w:r>
      <w:r>
        <w:rPr>
          <w:rFonts w:hint="eastAsia" w:ascii="宋体" w:hAnsi="宋体" w:cs="Arial"/>
          <w:color w:val="000000"/>
          <w:sz w:val="24"/>
          <w:szCs w:val="24"/>
          <w:lang w:val="en-US" w:eastAsia="zh-CN"/>
        </w:rPr>
        <w:t>/徐经理18363996635</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5</w:t>
      </w:r>
      <w:r>
        <w:rPr>
          <w:rFonts w:hint="eastAsia" w:ascii="宋体" w:hAnsi="宋体" w:cs="Arial"/>
          <w:color w:val="FF0000"/>
          <w:sz w:val="24"/>
          <w:szCs w:val="24"/>
        </w:rPr>
        <w:t>日13：3</w:t>
      </w:r>
      <w:r>
        <w:rPr>
          <w:rFonts w:ascii="宋体" w:cs="Arial"/>
          <w:color w:val="FF0000"/>
          <w:sz w:val="24"/>
          <w:szCs w:val="24"/>
        </w:rPr>
        <w:t>0</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hint="eastAsia" w:ascii="宋体" w:hAnsi="宋体" w:cs="Arial"/>
          <w:color w:val="000000"/>
          <w:sz w:val="24"/>
          <w:szCs w:val="24"/>
        </w:rPr>
      </w:pPr>
      <w:r>
        <w:rPr>
          <w:rFonts w:hint="eastAsia" w:ascii="宋体" w:hAnsi="宋体" w:cs="Arial"/>
          <w:color w:val="000000"/>
          <w:sz w:val="24"/>
          <w:szCs w:val="24"/>
        </w:rPr>
        <w:t>3.9 开标方式:内部开标</w:t>
      </w:r>
    </w:p>
    <w:p>
      <w:pPr>
        <w:keepNext w:val="0"/>
        <w:keepLines w:val="0"/>
        <w:pageBreakBefore w:val="0"/>
        <w:kinsoku/>
        <w:wordWrap/>
        <w:overflowPunct/>
        <w:topLinePunct w:val="0"/>
        <w:autoSpaceDE/>
        <w:autoSpaceDN/>
        <w:bidi w:val="0"/>
        <w:adjustRightInd w:val="0"/>
        <w:snapToGrid w:val="0"/>
        <w:spacing w:beforeLines="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cs="Arial"/>
          <w:sz w:val="24"/>
          <w:szCs w:val="24"/>
        </w:rPr>
      </w:pPr>
      <w:r>
        <w:rPr>
          <w:rFonts w:hint="eastAsia" w:ascii="宋体" w:hAnsi="宋体" w:cs="Arial"/>
          <w:sz w:val="24"/>
          <w:szCs w:val="24"/>
        </w:rPr>
        <w:t>本招标文件仅适用与本次投标所叙述液碱、硫酸及盐酸</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keepNext w:val="0"/>
        <w:keepLines w:val="0"/>
        <w:pageBreakBefore w:val="0"/>
        <w:widowControl/>
        <w:shd w:val="clear" w:color="auto" w:fill="FFFFFF"/>
        <w:kinsoku/>
        <w:wordWrap/>
        <w:overflowPunct/>
        <w:topLinePunct w:val="0"/>
        <w:autoSpaceDE/>
        <w:autoSpaceDN/>
        <w:bidi w:val="0"/>
        <w:spacing w:before="156" w:line="360" w:lineRule="auto"/>
        <w:ind w:left="720" w:hanging="720"/>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keepNext w:val="0"/>
        <w:keepLines w:val="0"/>
        <w:pageBreakBefore w:val="0"/>
        <w:widowControl/>
        <w:shd w:val="clear" w:color="auto" w:fill="FFFFFF"/>
        <w:kinsoku/>
        <w:wordWrap/>
        <w:overflowPunct/>
        <w:topLinePunct w:val="0"/>
        <w:autoSpaceDE/>
        <w:autoSpaceDN/>
        <w:bidi w:val="0"/>
        <w:spacing w:before="156" w:line="360" w:lineRule="auto"/>
        <w:ind w:left="149"/>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6、到货要求</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 中标人依据要求按时按量交货，自接到订单通知后3天内必须到货。逾期造成招标人的相应损失须由中标人承担。</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 中标人按照招标人的要求将货物运抵招标人指定位置，招标人仅提供必要人员及叉车等内部可提供的协助，如需吊装等设备需中标人提前联系并承担费用。</w:t>
      </w:r>
    </w:p>
    <w:p>
      <w:pPr>
        <w:keepNext w:val="0"/>
        <w:keepLines w:val="0"/>
        <w:pageBreakBefore w:val="0"/>
        <w:widowControl/>
        <w:shd w:val="clear" w:color="auto" w:fill="FFFFFF"/>
        <w:kinsoku/>
        <w:wordWrap/>
        <w:overflowPunct/>
        <w:topLinePunct w:val="0"/>
        <w:autoSpaceDE/>
        <w:autoSpaceDN/>
        <w:bidi w:val="0"/>
        <w:spacing w:before="156"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招标人质检部门会根据发货批次进行抽检，任意批次货物因质量原因导致的一系列问题，招标人可根据公司质检部的货物检验标准对其扣款、退货及取消年度供应商资格，招标人可根据实际损失情况对投标人进行索赔。</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根据招标人的验收标准：符合公司的质量标准，满足生产的使用要求。</w:t>
      </w: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付款方式</w:t>
      </w:r>
    </w:p>
    <w:p>
      <w:pPr>
        <w:spacing w:line="360" w:lineRule="auto"/>
        <w:ind w:left="73" w:leftChars="35" w:firstLine="720" w:firstLineChars="300"/>
        <w:rPr>
          <w:sz w:val="24"/>
        </w:rPr>
      </w:pP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个月（M+2</w:t>
      </w:r>
      <w:r>
        <w:rPr>
          <w:rFonts w:hint="eastAsia" w:ascii="宋体" w:hAnsi="宋体" w:eastAsia="宋体" w:cs="宋体"/>
          <w:color w:val="000000"/>
          <w:kern w:val="0"/>
          <w:sz w:val="24"/>
          <w:szCs w:val="24"/>
          <w:lang w:eastAsia="zh-CN"/>
        </w:rPr>
        <w:t>或</w:t>
      </w:r>
      <w:r>
        <w:rPr>
          <w:rFonts w:hint="eastAsia" w:ascii="宋体" w:hAnsi="宋体" w:eastAsia="宋体" w:cs="宋体"/>
          <w:color w:val="000000"/>
          <w:kern w:val="0"/>
          <w:sz w:val="24"/>
          <w:szCs w:val="24"/>
          <w:lang w:val="en-US" w:eastAsia="zh-CN"/>
        </w:rPr>
        <w:t>M+3</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。款项结算期根据招标人收到中标人提供的有效票据（依甲方要求为增值税专用发票）的日期为准。支付方式以电子承兑汇票</w:t>
      </w:r>
      <w:r>
        <w:rPr>
          <w:rFonts w:hint="eastAsia"/>
          <w:sz w:val="24"/>
          <w:lang w:val="en-US" w:eastAsia="zh-CN"/>
        </w:rPr>
        <w:t>为主</w:t>
      </w:r>
      <w:r>
        <w:rPr>
          <w:rFonts w:hint="eastAsia"/>
          <w:sz w:val="24"/>
        </w:rPr>
        <w:t>（集团财务公司</w:t>
      </w:r>
      <w:r>
        <w:rPr>
          <w:rFonts w:hint="eastAsia"/>
          <w:sz w:val="24"/>
          <w:lang w:val="en-US" w:eastAsia="zh-CN"/>
        </w:rPr>
        <w:t>开具的</w:t>
      </w:r>
      <w:r>
        <w:rPr>
          <w:rFonts w:hint="eastAsia"/>
          <w:sz w:val="24"/>
        </w:rPr>
        <w:t>汇票）。</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keepNext w:val="0"/>
        <w:keepLines w:val="0"/>
        <w:pageBreakBefore w:val="0"/>
        <w:widowControl/>
        <w:shd w:val="clear" w:color="auto" w:fill="FFFFFF"/>
        <w:kinsoku/>
        <w:wordWrap/>
        <w:overflowPunct/>
        <w:topLinePunct w:val="0"/>
        <w:autoSpaceDE/>
        <w:autoSpaceDN/>
        <w:bidi w:val="0"/>
        <w:spacing w:before="50" w:line="360" w:lineRule="auto"/>
        <w:textAlignment w:val="auto"/>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rPr>
        <w:t>液碱、硫酸及盐酸</w:t>
      </w:r>
    </w:p>
    <w:tbl>
      <w:tblPr>
        <w:tblStyle w:val="5"/>
        <w:tblW w:w="11202" w:type="dxa"/>
        <w:tblInd w:w="-1241" w:type="dxa"/>
        <w:shd w:val="clear" w:color="auto" w:fill="FFFFFF"/>
        <w:tblLayout w:type="autofit"/>
        <w:tblCellMar>
          <w:top w:w="0" w:type="dxa"/>
          <w:left w:w="0" w:type="dxa"/>
          <w:bottom w:w="0" w:type="dxa"/>
          <w:right w:w="0" w:type="dxa"/>
        </w:tblCellMar>
      </w:tblPr>
      <w:tblGrid>
        <w:gridCol w:w="1376"/>
        <w:gridCol w:w="1391"/>
        <w:gridCol w:w="768"/>
        <w:gridCol w:w="2767"/>
        <w:gridCol w:w="1350"/>
        <w:gridCol w:w="1700"/>
        <w:gridCol w:w="1850"/>
      </w:tblGrid>
      <w:tr>
        <w:tblPrEx>
          <w:shd w:val="clear" w:color="auto" w:fill="FFFFFF"/>
          <w:tblCellMar>
            <w:top w:w="0" w:type="dxa"/>
            <w:left w:w="0" w:type="dxa"/>
            <w:bottom w:w="0" w:type="dxa"/>
            <w:right w:w="0" w:type="dxa"/>
          </w:tblCellMar>
        </w:tblPrEx>
        <w:trPr>
          <w:trHeight w:val="714" w:hRule="atLeast"/>
        </w:trPr>
        <w:tc>
          <w:tcPr>
            <w:tcW w:w="137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826"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356"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826"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2356"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型号规格</w:t>
            </w:r>
          </w:p>
        </w:tc>
        <w:tc>
          <w:tcPr>
            <w:tcW w:w="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2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每次发货数量及时间</w:t>
            </w:r>
          </w:p>
        </w:tc>
        <w:tc>
          <w:tcPr>
            <w:tcW w:w="13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年预计用量（已实际生产使用量为准）</w:t>
            </w:r>
          </w:p>
        </w:tc>
        <w:tc>
          <w:tcPr>
            <w:tcW w:w="17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加价幅度 元/吨</w:t>
            </w:r>
          </w:p>
          <w:p>
            <w:pPr>
              <w:widowControl/>
              <w:spacing w:line="285" w:lineRule="atLeast"/>
              <w:jc w:val="center"/>
              <w:rPr>
                <w:rFonts w:ascii="Calibri" w:hAnsi="Calibri" w:eastAsia="微软雅黑" w:cs="宋体"/>
                <w:color w:val="000000"/>
                <w:kern w:val="0"/>
                <w:sz w:val="21"/>
                <w:szCs w:val="21"/>
                <w:lang w:val="en-US" w:eastAsia="zh-CN" w:bidi="ar-SA"/>
              </w:rPr>
            </w:pPr>
            <w:r>
              <w:rPr>
                <w:rFonts w:hint="eastAsia" w:ascii="Calibri" w:hAnsi="Calibri" w:eastAsia="微软雅黑" w:cs="宋体"/>
                <w:color w:val="000000"/>
                <w:kern w:val="0"/>
                <w:szCs w:val="21"/>
              </w:rPr>
              <w:t>（含运费、杂费,利润等所有）</w:t>
            </w:r>
          </w:p>
        </w:tc>
        <w:tc>
          <w:tcPr>
            <w:tcW w:w="1850"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加价预算控制价格</w:t>
            </w:r>
          </w:p>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元/吨</w:t>
            </w:r>
          </w:p>
        </w:tc>
      </w:tr>
      <w:tr>
        <w:tblPrEx>
          <w:shd w:val="clear" w:color="auto" w:fill="FFFFFF"/>
          <w:tblCellMar>
            <w:top w:w="0" w:type="dxa"/>
            <w:left w:w="0" w:type="dxa"/>
            <w:bottom w:w="0" w:type="dxa"/>
            <w:right w:w="0" w:type="dxa"/>
          </w:tblCellMar>
        </w:tblPrEx>
        <w:trPr>
          <w:trHeight w:val="878"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40" w:firstLineChars="100"/>
              <w:rPr>
                <w:rFonts w:hint="eastAsia" w:ascii="宋体" w:hAnsi="宋体" w:cs="Arial"/>
                <w:sz w:val="24"/>
                <w:szCs w:val="24"/>
              </w:rPr>
            </w:pPr>
            <w:r>
              <w:rPr>
                <w:rFonts w:hint="eastAsia" w:ascii="宋体" w:hAnsi="宋体" w:cs="Arial"/>
                <w:sz w:val="24"/>
                <w:szCs w:val="24"/>
              </w:rPr>
              <w:t xml:space="preserve"> </w:t>
            </w:r>
            <w:r>
              <w:rPr>
                <w:rFonts w:hint="eastAsia" w:ascii="宋体" w:hAnsi="宋体" w:cs="Arial"/>
                <w:sz w:val="24"/>
                <w:szCs w:val="24"/>
                <w:lang w:val="en-US" w:eastAsia="zh-CN"/>
              </w:rPr>
              <w:t>液碱</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 xml:space="preserve"> 含量</w:t>
            </w:r>
            <w:r>
              <w:rPr>
                <w:rFonts w:hint="eastAsia" w:ascii="Calibri" w:hAnsi="Calibri" w:eastAsia="微软雅黑" w:cs="宋体"/>
                <w:color w:val="000000"/>
                <w:kern w:val="0"/>
                <w:szCs w:val="21"/>
                <w:lang w:val="en-US" w:eastAsia="zh-CN"/>
              </w:rPr>
              <w:t>25</w:t>
            </w:r>
            <w:r>
              <w:rPr>
                <w:rFonts w:hint="eastAsia" w:ascii="Calibri" w:hAnsi="Calibri" w:eastAsia="微软雅黑" w:cs="宋体"/>
                <w:color w:val="000000"/>
                <w:kern w:val="0"/>
                <w:szCs w:val="21"/>
              </w:rPr>
              <w:t>%</w:t>
            </w:r>
          </w:p>
        </w:tc>
        <w:tc>
          <w:tcPr>
            <w:tcW w:w="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2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16</w:t>
            </w:r>
            <w:r>
              <w:rPr>
                <w:rFonts w:hint="eastAsia" w:ascii="Calibri" w:hAnsi="Calibri" w:eastAsia="微软雅黑" w:cs="宋体"/>
                <w:color w:val="000000"/>
                <w:kern w:val="0"/>
                <w:szCs w:val="21"/>
              </w:rPr>
              <w:t>吨左右/次，</w:t>
            </w:r>
            <w:r>
              <w:rPr>
                <w:rFonts w:hint="eastAsia" w:ascii="Calibri" w:hAnsi="Calibri" w:eastAsia="微软雅黑" w:cs="宋体"/>
                <w:color w:val="000000"/>
                <w:kern w:val="0"/>
                <w:szCs w:val="21"/>
                <w:lang w:val="en-US" w:eastAsia="zh-CN"/>
              </w:rPr>
              <w:t>罐装，</w:t>
            </w:r>
            <w:r>
              <w:rPr>
                <w:rFonts w:hint="eastAsia" w:ascii="Calibri" w:hAnsi="Calibri" w:eastAsia="微软雅黑" w:cs="宋体"/>
                <w:color w:val="000000"/>
                <w:kern w:val="0"/>
                <w:szCs w:val="21"/>
              </w:rPr>
              <w:t>不定期</w:t>
            </w:r>
          </w:p>
        </w:tc>
        <w:tc>
          <w:tcPr>
            <w:tcW w:w="13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60</w:t>
            </w:r>
          </w:p>
        </w:tc>
        <w:tc>
          <w:tcPr>
            <w:tcW w:w="17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850"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350</w:t>
            </w:r>
          </w:p>
        </w:tc>
      </w:tr>
      <w:tr>
        <w:tblPrEx>
          <w:shd w:val="clear" w:color="auto" w:fill="FFFFFF"/>
          <w:tblCellMar>
            <w:top w:w="0" w:type="dxa"/>
            <w:left w:w="0" w:type="dxa"/>
            <w:bottom w:w="0" w:type="dxa"/>
            <w:right w:w="0" w:type="dxa"/>
          </w:tblCellMar>
        </w:tblPrEx>
        <w:trPr>
          <w:trHeight w:val="828"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40" w:firstLineChars="100"/>
              <w:rPr>
                <w:rFonts w:hint="eastAsia" w:ascii="Calibri" w:hAnsi="Calibri" w:cs="宋体" w:eastAsiaTheme="minorEastAsia"/>
                <w:color w:val="000000"/>
                <w:kern w:val="0"/>
                <w:szCs w:val="21"/>
                <w:lang w:val="en-US" w:eastAsia="zh-CN"/>
              </w:rPr>
            </w:pPr>
            <w:r>
              <w:rPr>
                <w:rFonts w:hint="eastAsia" w:ascii="宋体" w:hAnsi="宋体" w:cs="Arial"/>
                <w:sz w:val="24"/>
                <w:szCs w:val="24"/>
              </w:rPr>
              <w:t xml:space="preserve"> </w:t>
            </w:r>
            <w:r>
              <w:rPr>
                <w:rFonts w:hint="eastAsia" w:ascii="宋体" w:hAnsi="宋体" w:cs="Arial"/>
                <w:sz w:val="24"/>
                <w:szCs w:val="24"/>
                <w:lang w:val="en-US" w:eastAsia="zh-CN"/>
              </w:rPr>
              <w:t>液碱</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 xml:space="preserve">  含量32 %</w:t>
            </w:r>
          </w:p>
        </w:tc>
        <w:tc>
          <w:tcPr>
            <w:tcW w:w="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ascii="Calibri" w:hAnsi="Calibri" w:eastAsia="微软雅黑" w:cs="宋体"/>
                <w:color w:val="000000"/>
                <w:kern w:val="0"/>
                <w:szCs w:val="21"/>
              </w:rPr>
            </w:pPr>
            <w:r>
              <w:rPr>
                <w:rFonts w:hint="eastAsia" w:ascii="Calibri" w:hAnsi="Calibri" w:eastAsia="微软雅黑" w:cs="宋体"/>
                <w:color w:val="000000"/>
                <w:kern w:val="0"/>
                <w:szCs w:val="21"/>
              </w:rPr>
              <w:t xml:space="preserve">    吨</w:t>
            </w:r>
          </w:p>
        </w:tc>
        <w:tc>
          <w:tcPr>
            <w:tcW w:w="2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16</w:t>
            </w:r>
            <w:r>
              <w:rPr>
                <w:rFonts w:hint="eastAsia" w:ascii="Calibri" w:hAnsi="Calibri" w:eastAsia="微软雅黑" w:cs="宋体"/>
                <w:color w:val="000000"/>
                <w:kern w:val="0"/>
                <w:szCs w:val="21"/>
              </w:rPr>
              <w:t>吨左右/次，</w:t>
            </w:r>
            <w:r>
              <w:rPr>
                <w:rFonts w:hint="eastAsia" w:ascii="Calibri" w:hAnsi="Calibri" w:eastAsia="微软雅黑" w:cs="宋体"/>
                <w:color w:val="000000"/>
                <w:kern w:val="0"/>
                <w:szCs w:val="21"/>
                <w:lang w:val="en-US" w:eastAsia="zh-CN"/>
              </w:rPr>
              <w:t>罐装，</w:t>
            </w:r>
            <w:r>
              <w:rPr>
                <w:rFonts w:hint="eastAsia" w:ascii="Calibri" w:hAnsi="Calibri" w:eastAsia="微软雅黑" w:cs="宋体"/>
                <w:color w:val="000000"/>
                <w:kern w:val="0"/>
                <w:szCs w:val="21"/>
              </w:rPr>
              <w:t>不定期</w:t>
            </w:r>
          </w:p>
        </w:tc>
        <w:tc>
          <w:tcPr>
            <w:tcW w:w="13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100</w:t>
            </w:r>
            <w:bookmarkStart w:id="0" w:name="_GoBack"/>
            <w:bookmarkEnd w:id="0"/>
          </w:p>
        </w:tc>
        <w:tc>
          <w:tcPr>
            <w:tcW w:w="17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850"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370</w:t>
            </w:r>
          </w:p>
        </w:tc>
      </w:tr>
      <w:tr>
        <w:tblPrEx>
          <w:shd w:val="clear" w:color="auto" w:fill="FFFFFF"/>
          <w:tblCellMar>
            <w:top w:w="0" w:type="dxa"/>
            <w:left w:w="0" w:type="dxa"/>
            <w:bottom w:w="0" w:type="dxa"/>
            <w:right w:w="0" w:type="dxa"/>
          </w:tblCellMar>
        </w:tblPrEx>
        <w:trPr>
          <w:trHeight w:val="797"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宋体" w:hAnsi="宋体" w:cs="Arial"/>
                <w:sz w:val="24"/>
                <w:szCs w:val="24"/>
              </w:rPr>
            </w:pPr>
            <w:r>
              <w:rPr>
                <w:rFonts w:hint="eastAsia" w:ascii="宋体" w:hAnsi="宋体" w:cs="Arial"/>
                <w:sz w:val="24"/>
                <w:szCs w:val="24"/>
              </w:rPr>
              <w:t>硫酸</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rPr>
              <w:t>含量98 %</w:t>
            </w:r>
          </w:p>
        </w:tc>
        <w:tc>
          <w:tcPr>
            <w:tcW w:w="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吨</w:t>
            </w:r>
          </w:p>
        </w:tc>
        <w:tc>
          <w:tcPr>
            <w:tcW w:w="2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8</w:t>
            </w:r>
            <w:r>
              <w:rPr>
                <w:rFonts w:hint="eastAsia" w:ascii="Calibri" w:hAnsi="Calibri" w:eastAsia="微软雅黑" w:cs="宋体"/>
                <w:color w:val="000000"/>
                <w:kern w:val="0"/>
                <w:szCs w:val="21"/>
              </w:rPr>
              <w:t>吨左右/次，</w:t>
            </w:r>
            <w:r>
              <w:rPr>
                <w:rFonts w:hint="eastAsia" w:ascii="Calibri" w:hAnsi="Calibri" w:eastAsia="微软雅黑" w:cs="宋体"/>
                <w:color w:val="000000"/>
                <w:kern w:val="0"/>
                <w:szCs w:val="21"/>
                <w:lang w:val="en-US" w:eastAsia="zh-CN"/>
              </w:rPr>
              <w:t>罐装，</w:t>
            </w:r>
            <w:r>
              <w:rPr>
                <w:rFonts w:hint="eastAsia" w:ascii="Calibri" w:hAnsi="Calibri" w:eastAsia="微软雅黑" w:cs="宋体"/>
                <w:color w:val="000000"/>
                <w:kern w:val="0"/>
                <w:szCs w:val="21"/>
              </w:rPr>
              <w:t>不定期</w:t>
            </w:r>
          </w:p>
        </w:tc>
        <w:tc>
          <w:tcPr>
            <w:tcW w:w="13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60</w:t>
            </w:r>
          </w:p>
        </w:tc>
        <w:tc>
          <w:tcPr>
            <w:tcW w:w="17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850"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260</w:t>
            </w:r>
          </w:p>
        </w:tc>
      </w:tr>
      <w:tr>
        <w:tblPrEx>
          <w:shd w:val="clear" w:color="auto" w:fill="FFFFFF"/>
          <w:tblCellMar>
            <w:top w:w="0" w:type="dxa"/>
            <w:left w:w="0" w:type="dxa"/>
            <w:bottom w:w="0" w:type="dxa"/>
            <w:right w:w="0" w:type="dxa"/>
          </w:tblCellMar>
        </w:tblPrEx>
        <w:trPr>
          <w:trHeight w:val="1115"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cs="Arial"/>
                <w:sz w:val="24"/>
                <w:szCs w:val="24"/>
              </w:rPr>
              <w:t>硫酸</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含量</w:t>
            </w:r>
            <w:r>
              <w:rPr>
                <w:rFonts w:hint="eastAsia" w:ascii="Calibri" w:hAnsi="Calibri" w:eastAsia="微软雅黑" w:cs="宋体"/>
                <w:color w:val="000000"/>
                <w:kern w:val="0"/>
                <w:szCs w:val="21"/>
                <w:lang w:val="en-US" w:eastAsia="zh-CN"/>
              </w:rPr>
              <w:t>98</w:t>
            </w:r>
            <w:r>
              <w:rPr>
                <w:rFonts w:hint="eastAsia" w:ascii="Calibri" w:hAnsi="Calibri" w:eastAsia="微软雅黑" w:cs="宋体"/>
                <w:color w:val="000000"/>
                <w:kern w:val="0"/>
                <w:szCs w:val="21"/>
              </w:rPr>
              <w:t xml:space="preserve"> %</w:t>
            </w:r>
          </w:p>
        </w:tc>
        <w:tc>
          <w:tcPr>
            <w:tcW w:w="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2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2</w:t>
            </w:r>
            <w:r>
              <w:rPr>
                <w:rFonts w:hint="eastAsia" w:ascii="Calibri" w:hAnsi="Calibri" w:eastAsia="微软雅黑" w:cs="宋体"/>
                <w:color w:val="000000"/>
                <w:kern w:val="0"/>
                <w:szCs w:val="21"/>
              </w:rPr>
              <w:t>吨左右/次，</w:t>
            </w:r>
            <w:r>
              <w:rPr>
                <w:rFonts w:hint="eastAsia" w:ascii="Calibri" w:hAnsi="Calibri" w:eastAsia="微软雅黑" w:cs="宋体"/>
                <w:color w:val="000000"/>
                <w:kern w:val="0"/>
                <w:szCs w:val="21"/>
                <w:lang w:val="en-US" w:eastAsia="zh-CN"/>
              </w:rPr>
              <w:t>小塑料桶包装。</w:t>
            </w:r>
            <w:r>
              <w:rPr>
                <w:rFonts w:hint="eastAsia" w:ascii="Calibri" w:hAnsi="Calibri" w:eastAsia="微软雅黑" w:cs="宋体"/>
                <w:color w:val="000000"/>
                <w:kern w:val="0"/>
                <w:szCs w:val="21"/>
              </w:rPr>
              <w:t>不定期</w:t>
            </w:r>
          </w:p>
        </w:tc>
        <w:tc>
          <w:tcPr>
            <w:tcW w:w="13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15</w:t>
            </w:r>
          </w:p>
        </w:tc>
        <w:tc>
          <w:tcPr>
            <w:tcW w:w="17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850"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550</w:t>
            </w:r>
          </w:p>
        </w:tc>
      </w:tr>
      <w:tr>
        <w:tblPrEx>
          <w:tblCellMar>
            <w:top w:w="0" w:type="dxa"/>
            <w:left w:w="0" w:type="dxa"/>
            <w:bottom w:w="0" w:type="dxa"/>
            <w:right w:w="0" w:type="dxa"/>
          </w:tblCellMar>
        </w:tblPrEx>
        <w:trPr>
          <w:trHeight w:val="797"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cs="Arial"/>
                <w:sz w:val="24"/>
                <w:szCs w:val="24"/>
              </w:rPr>
              <w:t>盐酸</w:t>
            </w:r>
          </w:p>
        </w:tc>
        <w:tc>
          <w:tcPr>
            <w:tcW w:w="13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含量</w:t>
            </w:r>
            <w:r>
              <w:rPr>
                <w:rFonts w:hint="eastAsia" w:ascii="Calibri" w:hAnsi="Calibri" w:eastAsia="微软雅黑" w:cs="宋体"/>
                <w:color w:val="000000"/>
                <w:kern w:val="0"/>
                <w:szCs w:val="21"/>
                <w:lang w:val="en-US" w:eastAsia="zh-CN"/>
              </w:rPr>
              <w:t>31</w:t>
            </w:r>
            <w:r>
              <w:rPr>
                <w:rFonts w:hint="eastAsia" w:ascii="Calibri" w:hAnsi="Calibri" w:eastAsia="微软雅黑" w:cs="宋体"/>
                <w:color w:val="000000"/>
                <w:kern w:val="0"/>
                <w:szCs w:val="21"/>
              </w:rPr>
              <w:t xml:space="preserve"> %</w:t>
            </w:r>
          </w:p>
        </w:tc>
        <w:tc>
          <w:tcPr>
            <w:tcW w:w="7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27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5吨左右/次，不定期</w:t>
            </w:r>
          </w:p>
        </w:tc>
        <w:tc>
          <w:tcPr>
            <w:tcW w:w="13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80</w:t>
            </w:r>
          </w:p>
        </w:tc>
        <w:tc>
          <w:tcPr>
            <w:tcW w:w="17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850" w:type="dxa"/>
            <w:tcBorders>
              <w:top w:val="nil"/>
              <w:left w:val="nil"/>
              <w:bottom w:val="single" w:color="auto" w:sz="8" w:space="0"/>
              <w:right w:val="single" w:color="auto" w:sz="8" w:space="0"/>
            </w:tcBorders>
            <w:shd w:val="clear" w:color="auto" w:fill="FFFFFF"/>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300</w:t>
            </w:r>
          </w:p>
        </w:tc>
      </w:tr>
      <w:tr>
        <w:tblPrEx>
          <w:tblCellMar>
            <w:top w:w="0" w:type="dxa"/>
            <w:left w:w="0" w:type="dxa"/>
            <w:bottom w:w="0" w:type="dxa"/>
            <w:right w:w="0" w:type="dxa"/>
          </w:tblCellMar>
        </w:tblPrEx>
        <w:trPr>
          <w:trHeight w:val="372" w:hRule="atLeast"/>
        </w:trPr>
        <w:tc>
          <w:tcPr>
            <w:tcW w:w="1120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both"/>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备注：出厂价参考生意社报价，在满足相关要求的前提下，选择加价幅度最低者为中标方。</w:t>
            </w:r>
          </w:p>
          <w:p>
            <w:pPr>
              <w:widowControl/>
              <w:spacing w:line="285" w:lineRule="atLeast"/>
              <w:jc w:val="left"/>
              <w:rPr>
                <w:rFonts w:hint="default" w:ascii="宋体" w:hAnsi="宋体" w:eastAsia="宋体" w:cs="宋体"/>
                <w:b/>
                <w:bCs/>
                <w:color w:val="000000"/>
                <w:kern w:val="0"/>
                <w:sz w:val="20"/>
                <w:szCs w:val="20"/>
                <w:lang w:val="en-US" w:eastAsia="zh-CN"/>
              </w:rPr>
            </w:pPr>
          </w:p>
        </w:tc>
      </w:tr>
      <w:tr>
        <w:tblPrEx>
          <w:tblCellMar>
            <w:top w:w="0" w:type="dxa"/>
            <w:left w:w="0" w:type="dxa"/>
            <w:bottom w:w="0" w:type="dxa"/>
            <w:right w:w="0" w:type="dxa"/>
          </w:tblCellMar>
        </w:tblPrEx>
        <w:trPr>
          <w:trHeight w:val="714" w:hRule="atLeast"/>
        </w:trPr>
        <w:tc>
          <w:tcPr>
            <w:tcW w:w="137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9826"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接到通知起3天内。</w:t>
            </w:r>
          </w:p>
        </w:tc>
      </w:tr>
      <w:tr>
        <w:tblPrEx>
          <w:tblCellMar>
            <w:top w:w="0" w:type="dxa"/>
            <w:left w:w="0" w:type="dxa"/>
            <w:bottom w:w="0" w:type="dxa"/>
            <w:right w:w="0" w:type="dxa"/>
          </w:tblCellMar>
        </w:tblPrEx>
        <w:trPr>
          <w:trHeight w:val="543" w:hRule="atLeast"/>
        </w:trPr>
        <w:tc>
          <w:tcPr>
            <w:tcW w:w="1120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付款方式：以电子承兑汇票为主（集团财务公司</w:t>
            </w:r>
            <w:r>
              <w:rPr>
                <w:rFonts w:hint="eastAsia" w:ascii="宋体" w:hAnsi="宋体" w:eastAsia="宋体" w:cs="宋体"/>
                <w:color w:val="000000"/>
                <w:kern w:val="0"/>
                <w:sz w:val="20"/>
                <w:szCs w:val="20"/>
                <w:lang w:val="en-US" w:eastAsia="zh-CN"/>
              </w:rPr>
              <w:t>开具的</w:t>
            </w:r>
            <w:r>
              <w:rPr>
                <w:rFonts w:hint="eastAsia" w:ascii="宋体" w:hAnsi="宋体" w:eastAsia="宋体" w:cs="宋体"/>
                <w:color w:val="000000"/>
                <w:kern w:val="0"/>
                <w:sz w:val="20"/>
                <w:szCs w:val="20"/>
              </w:rPr>
              <w:t>汇票）</w:t>
            </w:r>
          </w:p>
        </w:tc>
      </w:tr>
    </w:tbl>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备注：</w:t>
      </w: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1</w:t>
      </w:r>
      <w:r>
        <w:rPr>
          <w:rFonts w:hint="eastAsia" w:asciiTheme="minorEastAsia" w:hAnsiTheme="minorEastAsia" w:cstheme="minorEastAsia"/>
          <w:b/>
          <w:bCs/>
          <w:color w:val="FF0000"/>
          <w:sz w:val="24"/>
          <w:szCs w:val="24"/>
          <w:lang w:val="en-US" w:eastAsia="zh-CN"/>
        </w:rPr>
        <w:t>、</w:t>
      </w:r>
      <w:r>
        <w:rPr>
          <w:rFonts w:hint="eastAsia" w:asciiTheme="minorEastAsia" w:hAnsiTheme="minorEastAsia" w:eastAsiaTheme="minorEastAsia" w:cstheme="minorEastAsia"/>
          <w:b/>
          <w:bCs/>
          <w:color w:val="FF0000"/>
          <w:sz w:val="24"/>
          <w:szCs w:val="24"/>
          <w:lang w:val="en-US" w:eastAsia="zh-CN"/>
        </w:rPr>
        <w:t>本页必须加盖公章</w:t>
      </w: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2、此报价包含13%或3%增值税发票和运费</w:t>
      </w:r>
    </w:p>
    <w:p>
      <w:pP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cstheme="minorEastAsia"/>
          <w:b/>
          <w:bCs/>
          <w:color w:val="FF0000"/>
          <w:sz w:val="24"/>
          <w:szCs w:val="24"/>
          <w:lang w:val="en-US" w:eastAsia="zh-CN"/>
        </w:rPr>
        <w:t>、</w:t>
      </w:r>
      <w:r>
        <w:rPr>
          <w:rFonts w:hint="eastAsia" w:asciiTheme="minorEastAsia" w:hAnsiTheme="minorEastAsia" w:eastAsiaTheme="minorEastAsia" w:cstheme="minorEastAsia"/>
          <w:b/>
          <w:bCs/>
          <w:color w:val="FF0000"/>
          <w:sz w:val="24"/>
          <w:szCs w:val="24"/>
          <w:lang w:val="en-US" w:eastAsia="zh-CN"/>
        </w:rPr>
        <w:t xml:space="preserve"> 出厂价参考生意社报价，在满足相关要求的前提下，选择加价幅度最低者为中标方。</w:t>
      </w:r>
    </w:p>
    <w:p>
      <w:pPr>
        <w:rPr>
          <w:rFonts w:hint="eastAsia" w:eastAsiaTheme="minorEastAsia"/>
          <w:lang w:val="en-US" w:eastAsia="zh-CN"/>
        </w:rPr>
      </w:pPr>
      <w:r>
        <w:rPr>
          <w:rFonts w:hint="eastAsia" w:asciiTheme="minorEastAsia" w:hAnsiTheme="minorEastAsia" w:eastAsiaTheme="minorEastAsia" w:cstheme="minorEastAsia"/>
          <w:b/>
          <w:bCs/>
          <w:color w:val="FF0000"/>
          <w:sz w:val="24"/>
          <w:szCs w:val="24"/>
          <w:lang w:val="en-US" w:eastAsia="zh-CN"/>
        </w:rPr>
        <w:t>4、随标书附带相关的业绩资料。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F7"/>
    <w:rsid w:val="000150A5"/>
    <w:rsid w:val="00025FAC"/>
    <w:rsid w:val="00040F0E"/>
    <w:rsid w:val="000449D3"/>
    <w:rsid w:val="00045592"/>
    <w:rsid w:val="00071144"/>
    <w:rsid w:val="000A2EF0"/>
    <w:rsid w:val="000C0250"/>
    <w:rsid w:val="000C382A"/>
    <w:rsid w:val="000C410F"/>
    <w:rsid w:val="000D681A"/>
    <w:rsid w:val="000E563C"/>
    <w:rsid w:val="000E6FCB"/>
    <w:rsid w:val="000F5A16"/>
    <w:rsid w:val="00107703"/>
    <w:rsid w:val="00113A90"/>
    <w:rsid w:val="00137D3B"/>
    <w:rsid w:val="00142897"/>
    <w:rsid w:val="00144BCF"/>
    <w:rsid w:val="00152DCE"/>
    <w:rsid w:val="00156F61"/>
    <w:rsid w:val="00156F80"/>
    <w:rsid w:val="001742A8"/>
    <w:rsid w:val="00175A9D"/>
    <w:rsid w:val="00181E36"/>
    <w:rsid w:val="001901A1"/>
    <w:rsid w:val="001B15F0"/>
    <w:rsid w:val="001B1A0D"/>
    <w:rsid w:val="001B4430"/>
    <w:rsid w:val="00224475"/>
    <w:rsid w:val="0025310E"/>
    <w:rsid w:val="00267035"/>
    <w:rsid w:val="00286795"/>
    <w:rsid w:val="002B31FF"/>
    <w:rsid w:val="002D3457"/>
    <w:rsid w:val="002E09D1"/>
    <w:rsid w:val="002F417D"/>
    <w:rsid w:val="00304760"/>
    <w:rsid w:val="003057A3"/>
    <w:rsid w:val="003204E2"/>
    <w:rsid w:val="003271A4"/>
    <w:rsid w:val="00335472"/>
    <w:rsid w:val="00344F57"/>
    <w:rsid w:val="00346AD3"/>
    <w:rsid w:val="0036217E"/>
    <w:rsid w:val="00372150"/>
    <w:rsid w:val="00380FC1"/>
    <w:rsid w:val="00382655"/>
    <w:rsid w:val="0039013A"/>
    <w:rsid w:val="003C5C95"/>
    <w:rsid w:val="003C6F7F"/>
    <w:rsid w:val="003D0541"/>
    <w:rsid w:val="003F7F32"/>
    <w:rsid w:val="0040580F"/>
    <w:rsid w:val="00441DA8"/>
    <w:rsid w:val="00450BF7"/>
    <w:rsid w:val="00457E84"/>
    <w:rsid w:val="004818CA"/>
    <w:rsid w:val="00481C70"/>
    <w:rsid w:val="00481D62"/>
    <w:rsid w:val="0048223B"/>
    <w:rsid w:val="004A0767"/>
    <w:rsid w:val="004B6D4C"/>
    <w:rsid w:val="004D0877"/>
    <w:rsid w:val="004D1947"/>
    <w:rsid w:val="004D2F97"/>
    <w:rsid w:val="004E4E03"/>
    <w:rsid w:val="00505527"/>
    <w:rsid w:val="00512E43"/>
    <w:rsid w:val="005209B5"/>
    <w:rsid w:val="00521FF6"/>
    <w:rsid w:val="005314A8"/>
    <w:rsid w:val="00553E8B"/>
    <w:rsid w:val="00575C04"/>
    <w:rsid w:val="00580B69"/>
    <w:rsid w:val="005A4D44"/>
    <w:rsid w:val="005A6410"/>
    <w:rsid w:val="005E5CC3"/>
    <w:rsid w:val="005F0263"/>
    <w:rsid w:val="00600C90"/>
    <w:rsid w:val="00607A01"/>
    <w:rsid w:val="00613AEF"/>
    <w:rsid w:val="00615783"/>
    <w:rsid w:val="006412C1"/>
    <w:rsid w:val="006623CF"/>
    <w:rsid w:val="00664629"/>
    <w:rsid w:val="00676B89"/>
    <w:rsid w:val="00695433"/>
    <w:rsid w:val="006B6216"/>
    <w:rsid w:val="006C002B"/>
    <w:rsid w:val="006C5661"/>
    <w:rsid w:val="00705D49"/>
    <w:rsid w:val="00713C95"/>
    <w:rsid w:val="00727F64"/>
    <w:rsid w:val="00730A08"/>
    <w:rsid w:val="007319C9"/>
    <w:rsid w:val="0074107E"/>
    <w:rsid w:val="00755B9E"/>
    <w:rsid w:val="00785693"/>
    <w:rsid w:val="0078616B"/>
    <w:rsid w:val="00791BE1"/>
    <w:rsid w:val="007E7C73"/>
    <w:rsid w:val="00812CD2"/>
    <w:rsid w:val="008329EB"/>
    <w:rsid w:val="00832F80"/>
    <w:rsid w:val="00845F49"/>
    <w:rsid w:val="00852484"/>
    <w:rsid w:val="00855D00"/>
    <w:rsid w:val="008607B3"/>
    <w:rsid w:val="00862AF3"/>
    <w:rsid w:val="008733B6"/>
    <w:rsid w:val="00883654"/>
    <w:rsid w:val="008E63AE"/>
    <w:rsid w:val="008F5810"/>
    <w:rsid w:val="008F6DFA"/>
    <w:rsid w:val="009A1747"/>
    <w:rsid w:val="009A4198"/>
    <w:rsid w:val="009B1D21"/>
    <w:rsid w:val="009F10BA"/>
    <w:rsid w:val="00A1247B"/>
    <w:rsid w:val="00A12AA4"/>
    <w:rsid w:val="00A15A8D"/>
    <w:rsid w:val="00A4367E"/>
    <w:rsid w:val="00A54250"/>
    <w:rsid w:val="00A557E9"/>
    <w:rsid w:val="00A74A75"/>
    <w:rsid w:val="00A75594"/>
    <w:rsid w:val="00AE4689"/>
    <w:rsid w:val="00B2599F"/>
    <w:rsid w:val="00B67268"/>
    <w:rsid w:val="00B809B5"/>
    <w:rsid w:val="00B85243"/>
    <w:rsid w:val="00B9759D"/>
    <w:rsid w:val="00BA614A"/>
    <w:rsid w:val="00BE5B46"/>
    <w:rsid w:val="00BF372C"/>
    <w:rsid w:val="00C07DC0"/>
    <w:rsid w:val="00C202F1"/>
    <w:rsid w:val="00C30C33"/>
    <w:rsid w:val="00C41D64"/>
    <w:rsid w:val="00C57EEE"/>
    <w:rsid w:val="00C7415B"/>
    <w:rsid w:val="00C806C3"/>
    <w:rsid w:val="00C8742D"/>
    <w:rsid w:val="00CC2F22"/>
    <w:rsid w:val="00CD4BD3"/>
    <w:rsid w:val="00CE21E2"/>
    <w:rsid w:val="00CE5376"/>
    <w:rsid w:val="00D075E8"/>
    <w:rsid w:val="00D20D5C"/>
    <w:rsid w:val="00D239DF"/>
    <w:rsid w:val="00D2699D"/>
    <w:rsid w:val="00D36004"/>
    <w:rsid w:val="00D43021"/>
    <w:rsid w:val="00D47B16"/>
    <w:rsid w:val="00D72A95"/>
    <w:rsid w:val="00D73AF0"/>
    <w:rsid w:val="00D778C0"/>
    <w:rsid w:val="00D97BEB"/>
    <w:rsid w:val="00DC24E1"/>
    <w:rsid w:val="00DD1C91"/>
    <w:rsid w:val="00DE5125"/>
    <w:rsid w:val="00E134CD"/>
    <w:rsid w:val="00E24C0B"/>
    <w:rsid w:val="00E51867"/>
    <w:rsid w:val="00E66C88"/>
    <w:rsid w:val="00E7059A"/>
    <w:rsid w:val="00E77A0A"/>
    <w:rsid w:val="00E839AF"/>
    <w:rsid w:val="00E87099"/>
    <w:rsid w:val="00EB1C34"/>
    <w:rsid w:val="00EB200D"/>
    <w:rsid w:val="00EC1B56"/>
    <w:rsid w:val="00EC2EDB"/>
    <w:rsid w:val="00EC448C"/>
    <w:rsid w:val="00EE71BC"/>
    <w:rsid w:val="00F0499C"/>
    <w:rsid w:val="00F1034D"/>
    <w:rsid w:val="00F25100"/>
    <w:rsid w:val="00F8144C"/>
    <w:rsid w:val="00F817EB"/>
    <w:rsid w:val="00F81E7A"/>
    <w:rsid w:val="00FA433A"/>
    <w:rsid w:val="00FC2D69"/>
    <w:rsid w:val="00FC447A"/>
    <w:rsid w:val="00FF3A97"/>
    <w:rsid w:val="00FF7CCF"/>
    <w:rsid w:val="017C263A"/>
    <w:rsid w:val="044616EE"/>
    <w:rsid w:val="049E7E7F"/>
    <w:rsid w:val="058C5590"/>
    <w:rsid w:val="08725110"/>
    <w:rsid w:val="0B0054BC"/>
    <w:rsid w:val="1F2116B2"/>
    <w:rsid w:val="1FCD7EB9"/>
    <w:rsid w:val="230265FC"/>
    <w:rsid w:val="23690A46"/>
    <w:rsid w:val="278F5CB5"/>
    <w:rsid w:val="30492661"/>
    <w:rsid w:val="33B40C5F"/>
    <w:rsid w:val="34FF33CA"/>
    <w:rsid w:val="353B77E2"/>
    <w:rsid w:val="3553070C"/>
    <w:rsid w:val="356B6818"/>
    <w:rsid w:val="37BC7E4B"/>
    <w:rsid w:val="3AD3655F"/>
    <w:rsid w:val="3B1370F0"/>
    <w:rsid w:val="3B7823A5"/>
    <w:rsid w:val="3EF76615"/>
    <w:rsid w:val="41585228"/>
    <w:rsid w:val="459A7F5A"/>
    <w:rsid w:val="47347A7A"/>
    <w:rsid w:val="4CC5545B"/>
    <w:rsid w:val="4FBC177D"/>
    <w:rsid w:val="54350D82"/>
    <w:rsid w:val="548F1F48"/>
    <w:rsid w:val="58E04082"/>
    <w:rsid w:val="5B3F4270"/>
    <w:rsid w:val="5C274B34"/>
    <w:rsid w:val="5D6E1FD6"/>
    <w:rsid w:val="5D8627BD"/>
    <w:rsid w:val="64EE0916"/>
    <w:rsid w:val="6A957044"/>
    <w:rsid w:val="6B9530F3"/>
    <w:rsid w:val="6E8835F1"/>
    <w:rsid w:val="72A22C92"/>
    <w:rsid w:val="74302DF6"/>
    <w:rsid w:val="7974084F"/>
    <w:rsid w:val="7DB0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6B31-249A-4E4E-87AB-C84DA6274D2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349</Words>
  <Characters>1990</Characters>
  <Lines>16</Lines>
  <Paragraphs>4</Paragraphs>
  <TotalTime>3</TotalTime>
  <ScaleCrop>false</ScaleCrop>
  <LinksUpToDate>false</LinksUpToDate>
  <CharactersWithSpaces>2335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88</cp:lastModifiedBy>
  <dcterms:modified xsi:type="dcterms:W3CDTF">2024-02-26T05:34:17Z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A10534D51D204C389B1A1CEFEB8E84BF</vt:lpwstr>
  </property>
</Properties>
</file>